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862" w:rsidRPr="001F3862" w:rsidRDefault="008D031B" w:rsidP="008D031B">
      <w:pPr>
        <w:jc w:val="center"/>
        <w:rPr>
          <w:b/>
          <w:bCs/>
          <w:sz w:val="40"/>
          <w:szCs w:val="40"/>
          <w:u w:val="single"/>
          <w:rtl/>
        </w:rPr>
      </w:pPr>
      <w:r w:rsidRPr="001F3862">
        <w:rPr>
          <w:rFonts w:hint="cs"/>
          <w:b/>
          <w:bCs/>
          <w:sz w:val="40"/>
          <w:szCs w:val="40"/>
          <w:u w:val="single"/>
          <w:rtl/>
        </w:rPr>
        <w:t>אמצעים מנכרים ב</w:t>
      </w:r>
      <w:r w:rsidR="001F3862" w:rsidRPr="001F3862">
        <w:rPr>
          <w:rFonts w:hint="cs"/>
          <w:b/>
          <w:bCs/>
          <w:sz w:val="40"/>
          <w:szCs w:val="40"/>
          <w:u w:val="single"/>
          <w:rtl/>
        </w:rPr>
        <w:t>"</w:t>
      </w:r>
      <w:r w:rsidRPr="001F3862">
        <w:rPr>
          <w:rFonts w:hint="cs"/>
          <w:b/>
          <w:bCs/>
          <w:sz w:val="40"/>
          <w:szCs w:val="40"/>
          <w:u w:val="single"/>
          <w:rtl/>
        </w:rPr>
        <w:t>מעגל הגיר הקווקזי</w:t>
      </w:r>
      <w:r w:rsidR="001F3862" w:rsidRPr="001F3862">
        <w:rPr>
          <w:rFonts w:hint="cs"/>
          <w:b/>
          <w:bCs/>
          <w:sz w:val="40"/>
          <w:szCs w:val="40"/>
          <w:u w:val="single"/>
          <w:rtl/>
        </w:rPr>
        <w:t>"</w:t>
      </w:r>
    </w:p>
    <w:p w:rsidR="008D031B" w:rsidRPr="001F3862" w:rsidRDefault="008D031B" w:rsidP="001F3862">
      <w:pPr>
        <w:rPr>
          <w:sz w:val="28"/>
          <w:szCs w:val="28"/>
          <w:u w:val="single"/>
          <w:rtl/>
        </w:rPr>
      </w:pPr>
      <w:r w:rsidRPr="001F3862">
        <w:rPr>
          <w:rFonts w:hint="cs"/>
          <w:sz w:val="28"/>
          <w:szCs w:val="28"/>
          <w:u w:val="single"/>
          <w:rtl/>
        </w:rPr>
        <w:t>כיצד בא לידי ביטוי אפקט הניכור במחזה?</w:t>
      </w:r>
    </w:p>
    <w:p w:rsidR="008D031B" w:rsidRDefault="008D031B" w:rsidP="008D031B">
      <w:pPr>
        <w:numPr>
          <w:ilvl w:val="0"/>
          <w:numId w:val="1"/>
        </w:numPr>
        <w:ind w:right="0"/>
        <w:rPr>
          <w:b/>
          <w:bCs/>
          <w:u w:val="single"/>
        </w:rPr>
      </w:pPr>
      <w:r>
        <w:rPr>
          <w:rFonts w:hint="cs"/>
          <w:b/>
          <w:bCs/>
          <w:u w:val="single"/>
          <w:rtl/>
        </w:rPr>
        <w:t>עיצוב דמויות:</w:t>
      </w:r>
    </w:p>
    <w:p w:rsidR="008D031B" w:rsidRDefault="008D031B" w:rsidP="000804AF">
      <w:pPr>
        <w:pStyle w:val="a3"/>
        <w:numPr>
          <w:ilvl w:val="0"/>
          <w:numId w:val="2"/>
        </w:numPr>
        <w:rPr>
          <w:rtl/>
        </w:rPr>
      </w:pPr>
      <w:r w:rsidRPr="000804AF">
        <w:rPr>
          <w:rFonts w:hint="cs"/>
          <w:b/>
          <w:bCs/>
          <w:rtl/>
        </w:rPr>
        <w:t>הדמויות מעוצבות לפי שיוך מעמדי חברתי:</w:t>
      </w:r>
      <w:r>
        <w:rPr>
          <w:rFonts w:hint="cs"/>
          <w:rtl/>
        </w:rPr>
        <w:t xml:space="preserve"> האופן שבו מעצב ברכט את הדמויות מדגיש את שיוכן המעמדי: עפ"י תפיסתו המרכסיסטית, הדמויות ששייכות למעמד </w:t>
      </w:r>
      <w:r w:rsidRPr="000804AF">
        <w:rPr>
          <w:rFonts w:hint="cs"/>
          <w:color w:val="000000"/>
          <w:rtl/>
        </w:rPr>
        <w:t>הגבוה</w:t>
      </w:r>
      <w:r>
        <w:rPr>
          <w:rFonts w:hint="cs"/>
          <w:rtl/>
        </w:rPr>
        <w:t xml:space="preserve"> יהיו תמיד נצלניות, אגואיסטיות, שולטות באחרים</w:t>
      </w:r>
      <w:r w:rsidR="000804AF">
        <w:rPr>
          <w:rFonts w:hint="cs"/>
          <w:rtl/>
        </w:rPr>
        <w:t>;</w:t>
      </w:r>
      <w:r>
        <w:rPr>
          <w:rFonts w:hint="cs"/>
          <w:rtl/>
        </w:rPr>
        <w:t xml:space="preserve"> הדמויות ששייכות למעמד הנמוך </w:t>
      </w:r>
      <w:r w:rsidR="000804AF">
        <w:rPr>
          <w:rFonts w:hint="cs"/>
          <w:rtl/>
        </w:rPr>
        <w:t xml:space="preserve">בד"כ </w:t>
      </w:r>
      <w:r>
        <w:rPr>
          <w:rFonts w:hint="cs"/>
          <w:rtl/>
        </w:rPr>
        <w:t xml:space="preserve">מנוצלות, נמצאות במלחמת </w:t>
      </w:r>
      <w:proofErr w:type="spellStart"/>
      <w:r>
        <w:rPr>
          <w:rFonts w:hint="cs"/>
          <w:rtl/>
        </w:rPr>
        <w:t>השרדות</w:t>
      </w:r>
      <w:proofErr w:type="spellEnd"/>
      <w:r>
        <w:rPr>
          <w:rFonts w:hint="cs"/>
          <w:rtl/>
        </w:rPr>
        <w:t xml:space="preserve"> כלכלית מתמדת. אשת המושל השייכת למעמד גבוה מעוצבת כדמות מפונקת, מרושעת ואטומה לחלוטין- בזמן מלחמה </w:t>
      </w:r>
      <w:proofErr w:type="spellStart"/>
      <w:r>
        <w:rPr>
          <w:rFonts w:hint="cs"/>
          <w:rtl/>
        </w:rPr>
        <w:t>כשהכל</w:t>
      </w:r>
      <w:proofErr w:type="spellEnd"/>
      <w:r>
        <w:rPr>
          <w:rFonts w:hint="cs"/>
          <w:rtl/>
        </w:rPr>
        <w:t xml:space="preserve"> עומד לבעור, היא עסוקה בשיפוץ המתוכנן של הארמון, כשכולם עסוקים באריזה מלאה כדי להימלט על נפשם- היא מחרפת את נפשה על הצלת כמה שיותר משמלותיה. השיא הוא כמובן בהשארתו מאחור של בנה התינוק מישל, בעוד היא מצילה את עצמה. גם בסוף המחזה כשהיא חוזרת "להילחם" על בנה , אנחנו מגלים שהסיבה האמיתית למאבק היא הירושה והרכוש. לעומתה גרושה המשרתת הענייה מעוצבת כאדם מוסרי שמוכן להקריב ולסכן את עצמו למען תינוק שאפילו אינו שלה. </w:t>
      </w:r>
    </w:p>
    <w:p w:rsidR="000804AF" w:rsidRDefault="000804AF" w:rsidP="000804AF">
      <w:pPr>
        <w:ind w:left="720"/>
        <w:rPr>
          <w:rtl/>
        </w:rPr>
      </w:pPr>
      <w:r>
        <w:rPr>
          <w:rFonts w:hint="cs"/>
          <w:rtl/>
        </w:rPr>
        <w:t xml:space="preserve">במחזה עצמו </w:t>
      </w:r>
      <w:r w:rsidR="008D031B">
        <w:rPr>
          <w:rFonts w:hint="cs"/>
          <w:rtl/>
        </w:rPr>
        <w:t>ברכט לא מכנה את הדמויות בשמות אלא בכ</w:t>
      </w:r>
      <w:r>
        <w:rPr>
          <w:rFonts w:hint="cs"/>
          <w:rtl/>
        </w:rPr>
        <w:t>ינויים הקשורים ל</w:t>
      </w:r>
      <w:r w:rsidR="008D031B">
        <w:rPr>
          <w:rFonts w:hint="cs"/>
          <w:rtl/>
        </w:rPr>
        <w:t xml:space="preserve">מעמדן החברתי או מקצוען. למשל, </w:t>
      </w:r>
      <w:r w:rsidR="008D031B" w:rsidRPr="00A16FE2">
        <w:rPr>
          <w:rFonts w:hint="cs"/>
          <w:rtl/>
        </w:rPr>
        <w:t>בתמונה הראשונה הנקראת "הריב על העמק"</w:t>
      </w:r>
      <w:r w:rsidR="008D031B">
        <w:rPr>
          <w:rFonts w:hint="cs"/>
          <w:rtl/>
        </w:rPr>
        <w:t xml:space="preserve">: איכרה מימין, טרקטוריסטית צעירה, זקן משמאל, אגרונומית, מומחה. גם במחזה עצמו יש שימוש נרחב בתארים כגון: אשת המושל, הנסיך השמן, חייל, פונדקאי </w:t>
      </w:r>
      <w:proofErr w:type="spellStart"/>
      <w:r w:rsidR="008D031B">
        <w:rPr>
          <w:rFonts w:hint="cs"/>
          <w:rtl/>
        </w:rPr>
        <w:t>וכו</w:t>
      </w:r>
      <w:proofErr w:type="spellEnd"/>
      <w:r w:rsidR="008D031B">
        <w:rPr>
          <w:rFonts w:hint="cs"/>
          <w:rtl/>
        </w:rPr>
        <w:t xml:space="preserve">'. </w:t>
      </w:r>
      <w:r>
        <w:rPr>
          <w:rFonts w:hint="cs"/>
          <w:rtl/>
        </w:rPr>
        <w:t xml:space="preserve">אך יש גם שתי דמויות המכונות בשמן: גרושה ואצדק. שתי דמויות מרכזיות העוברות תהפוכות גדולות בשל המצב הפוליטי וההפיכה בארמון המושל. </w:t>
      </w:r>
    </w:p>
    <w:p w:rsidR="008D031B" w:rsidRDefault="008D031B" w:rsidP="000804AF">
      <w:pPr>
        <w:pStyle w:val="a3"/>
        <w:numPr>
          <w:ilvl w:val="0"/>
          <w:numId w:val="2"/>
        </w:numPr>
        <w:rPr>
          <w:rtl/>
        </w:rPr>
      </w:pPr>
      <w:r w:rsidRPr="000804AF">
        <w:rPr>
          <w:rFonts w:hint="cs"/>
          <w:b/>
          <w:bCs/>
          <w:rtl/>
        </w:rPr>
        <w:t xml:space="preserve">הדמות אינה מתפתחת ואינה משתנה: </w:t>
      </w:r>
      <w:r>
        <w:rPr>
          <w:rFonts w:hint="cs"/>
          <w:rtl/>
        </w:rPr>
        <w:t>מהלך העלילה אצל ברכט מפותל ומזמן לדמות אירועים רבים, ואף על פי כן היא אינה משתנה.</w:t>
      </w:r>
      <w:r w:rsidRPr="000804AF">
        <w:rPr>
          <w:rFonts w:hint="cs"/>
          <w:b/>
          <w:bCs/>
          <w:rtl/>
        </w:rPr>
        <w:t xml:space="preserve"> </w:t>
      </w:r>
      <w:r>
        <w:rPr>
          <w:rFonts w:hint="cs"/>
          <w:rtl/>
        </w:rPr>
        <w:t>אשת המושל גם בסוף המחזה מגלה יחס מזלזל ומתנשא כלפי המון העם: "תודה לאל! לפחות אין פה אספסוף. אני לא יכולה לסבול את הריח". פרקליטה מנסה לשכנע אותה להיזהר בלשונה אך נטייה זו חזקה ממנה. גם גרושה נשארת נחושה ומוסרית לאורך כל הדרך ולמעשה לא עוברת שום תהליך: אותה גרושה , תמימה, ישירה, אמיצה, שנענתה להצעת הנישואין של סימון עוד לפני שזה הגה אותה, אומרת לשופט אצדק את דעתה עליו בפנים שלוש שנים אחר כך. אותה גרושה שהרימה את מישל חסר האונים והצילה אותו ממוות בטוח היא גרושה שלא הייתה מסוגלת למשוך אותו מתוך המעגל.</w:t>
      </w:r>
    </w:p>
    <w:p w:rsidR="008D031B" w:rsidRDefault="008D031B" w:rsidP="000804AF">
      <w:pPr>
        <w:pStyle w:val="a3"/>
        <w:numPr>
          <w:ilvl w:val="0"/>
          <w:numId w:val="2"/>
        </w:numPr>
      </w:pPr>
      <w:r w:rsidRPr="000804AF">
        <w:rPr>
          <w:rFonts w:hint="cs"/>
          <w:b/>
          <w:bCs/>
          <w:rtl/>
        </w:rPr>
        <w:t xml:space="preserve">מוסר במקום פסיכולוגיה: </w:t>
      </w:r>
      <w:r w:rsidRPr="000804AF">
        <w:rPr>
          <w:rFonts w:hint="cs"/>
          <w:b/>
          <w:bCs/>
          <w:color w:val="FF0000"/>
          <w:rtl/>
        </w:rPr>
        <w:t xml:space="preserve"> </w:t>
      </w:r>
      <w:r>
        <w:rPr>
          <w:rFonts w:hint="cs"/>
          <w:rtl/>
        </w:rPr>
        <w:t xml:space="preserve">הדמות אינה מורכבת, ברכט לא מתעניין בעבר שלה, במניעיה הפסיכולוגיים או בקונפליקטים פנימיים. אנחנו לא מכירים את יחסיה של גרושה עם הוריה אבל למדים כיצד היא פועלת בתוך סיטואציות שבהם נדרש שיקול מוסרי: האם לקחת את מישל </w:t>
      </w:r>
      <w:r>
        <w:rPr>
          <w:rtl/>
        </w:rPr>
        <w:t>–</w:t>
      </w:r>
      <w:r>
        <w:rPr>
          <w:rFonts w:hint="cs"/>
          <w:rtl/>
        </w:rPr>
        <w:t xml:space="preserve"> התינוק שננטש ע"י אמו הביולוגית-ולסכן את עצמה? האם לחכות בכל מחיר לסימון או לעשות את מה שנכון לטובת הילד? כלומר ההתעניינות של ברכט היא בשיקולים המוסריים של הדמות ולא בשיקולים הפסיכולוגיים.</w:t>
      </w:r>
    </w:p>
    <w:p w:rsidR="00103164" w:rsidRDefault="00103164" w:rsidP="00103164">
      <w:pPr>
        <w:pStyle w:val="a3"/>
        <w:ind w:left="1440"/>
        <w:rPr>
          <w:rtl/>
        </w:rPr>
      </w:pPr>
      <w:r>
        <w:rPr>
          <w:rFonts w:hint="cs"/>
          <w:rtl/>
        </w:rPr>
        <w:t xml:space="preserve">במקרה של אצדק מדובר על מורכבות מעניינת, אך גם היא ממוקדת בבחירותיו המוסריות ולא בפסיכולוגיה שלו. מצד אחד הוא פועל ממניעים סוציאליים והצדק שלו בפועל הוא צדק סוציאלי, יחד עם זאת, הוא לוקח שוחד ומצהיר שיטה את המשפט לפי השוחד שיקבל. כמו כן הוא אלכוהוליסט, גנב </w:t>
      </w:r>
      <w:proofErr w:type="spellStart"/>
      <w:r>
        <w:rPr>
          <w:rFonts w:hint="cs"/>
          <w:rtl/>
        </w:rPr>
        <w:t>וכו</w:t>
      </w:r>
      <w:proofErr w:type="spellEnd"/>
      <w:r>
        <w:rPr>
          <w:rFonts w:hint="cs"/>
          <w:rtl/>
        </w:rPr>
        <w:t xml:space="preserve">'. ברגעי סכנה הוא עושה הכול כדי להימלט על נפשו ו/או לשנות את דעותיו מקצה אל קצה. אצדק </w:t>
      </w:r>
      <w:r>
        <w:rPr>
          <w:rFonts w:hint="cs"/>
          <w:rtl/>
        </w:rPr>
        <w:lastRenderedPageBreak/>
        <w:t xml:space="preserve">מייצג את האופן בו ראוי להתייחס לחלשים ולמנוצלים, אך הוא עצמו טיפוס מפוקפק מבחינת התנהגותו המוסרית. באמצעות אצדק מציג לנו את ברכט את החולשה המוסרית החברתית והפוליטית ככלל. </w:t>
      </w:r>
    </w:p>
    <w:p w:rsidR="00103164" w:rsidRPr="00103164" w:rsidRDefault="008D031B" w:rsidP="00103164">
      <w:pPr>
        <w:pStyle w:val="a3"/>
        <w:numPr>
          <w:ilvl w:val="0"/>
          <w:numId w:val="1"/>
        </w:numPr>
        <w:rPr>
          <w:u w:val="single"/>
          <w:rtl/>
        </w:rPr>
      </w:pPr>
      <w:r w:rsidRPr="00103164">
        <w:rPr>
          <w:rFonts w:hint="cs"/>
          <w:b/>
          <w:bCs/>
          <w:u w:val="single"/>
          <w:rtl/>
        </w:rPr>
        <w:t xml:space="preserve">שפה: </w:t>
      </w:r>
    </w:p>
    <w:p w:rsidR="008D031B" w:rsidRDefault="00103164" w:rsidP="00103164">
      <w:pPr>
        <w:pStyle w:val="a3"/>
        <w:ind w:left="1440"/>
        <w:rPr>
          <w:rtl/>
        </w:rPr>
      </w:pPr>
      <w:r>
        <w:rPr>
          <w:rFonts w:hint="cs"/>
          <w:rtl/>
        </w:rPr>
        <w:t>יש שימוש במונולוגים הן של הזמר והן של הדמויות עצמן. כמו כן, הזמר מכניס ממד פיוטי לשיח וגם הדמויות מדברות לפעמים בשפה נמוכה ("חור בן תחת", אומר אצדק) ולפעמים בשפה גבוהה ופיוטית, מלאה במשלים ודוגמאות (גם בדבריו של אצדק. למשל,</w:t>
      </w:r>
      <w:r w:rsidR="008D031B">
        <w:rPr>
          <w:rFonts w:hint="cs"/>
          <w:rtl/>
        </w:rPr>
        <w:t xml:space="preserve"> במהלך כל המחזה. גרושה מדברת פעם בפשטות ובישירות : "חשבתי שהן יתייחסו יותר טוב אל אחת משלהן"; פעם בשירה: "כי אותך איש לא רצה, לא הייתה ברירה לי, לא יודעת מה קרה, לא יודעת מי ומה..."; פעם בהרהור פילוסופי: "עמוקה היא התהום , בן והגשר רעוע אך לא לנו לשאול בן למה ומדוע". עיצוב הדמות לא מחקה מציאות: במציאות אנשים לא פתאום משנים את סגנון הדיבור שלהם באופן כזה. </w:t>
      </w:r>
      <w:r>
        <w:rPr>
          <w:rFonts w:hint="cs"/>
          <w:rtl/>
        </w:rPr>
        <w:t>גם השפה מסייעת ביצירת הניכור.</w:t>
      </w:r>
    </w:p>
    <w:p w:rsidR="008D031B" w:rsidRDefault="008D031B" w:rsidP="008D031B">
      <w:pPr>
        <w:numPr>
          <w:ilvl w:val="0"/>
          <w:numId w:val="1"/>
        </w:numPr>
        <w:ind w:right="0"/>
        <w:rPr>
          <w:b/>
          <w:bCs/>
          <w:u w:val="single"/>
        </w:rPr>
      </w:pPr>
      <w:r>
        <w:rPr>
          <w:rFonts w:hint="cs"/>
          <w:b/>
          <w:bCs/>
          <w:u w:val="single"/>
          <w:rtl/>
        </w:rPr>
        <w:t>עלילה:</w:t>
      </w:r>
    </w:p>
    <w:p w:rsidR="00103164" w:rsidRDefault="008D031B" w:rsidP="00103164">
      <w:pPr>
        <w:pStyle w:val="a3"/>
        <w:numPr>
          <w:ilvl w:val="0"/>
          <w:numId w:val="3"/>
        </w:numPr>
      </w:pPr>
      <w:r w:rsidRPr="00103164">
        <w:rPr>
          <w:rFonts w:hint="cs"/>
          <w:b/>
          <w:bCs/>
          <w:rtl/>
        </w:rPr>
        <w:t>שבירת הרצף הסיבתי</w:t>
      </w:r>
      <w:r>
        <w:rPr>
          <w:rFonts w:hint="cs"/>
          <w:rtl/>
        </w:rPr>
        <w:t xml:space="preserve">: </w:t>
      </w:r>
    </w:p>
    <w:p w:rsidR="00103164" w:rsidRDefault="008D031B" w:rsidP="007A5163">
      <w:pPr>
        <w:pStyle w:val="a3"/>
        <w:ind w:left="1191"/>
        <w:jc w:val="both"/>
      </w:pPr>
      <w:r>
        <w:rPr>
          <w:rFonts w:hint="cs"/>
          <w:rtl/>
        </w:rPr>
        <w:t xml:space="preserve">במחזה </w:t>
      </w:r>
      <w:proofErr w:type="spellStart"/>
      <w:r>
        <w:rPr>
          <w:rFonts w:hint="cs"/>
          <w:rtl/>
        </w:rPr>
        <w:t>ראליסטי</w:t>
      </w:r>
      <w:proofErr w:type="spellEnd"/>
      <w:r>
        <w:rPr>
          <w:rFonts w:hint="cs"/>
          <w:rtl/>
        </w:rPr>
        <w:t xml:space="preserve"> ישנו קשר סיבתי בין הסצנות- כל סצנה מכינה למעשה את הסצנה הבאה ונובעת ממנה. המחזה האפי מורכב מסדרת סצנות קצרות יחסית העומדות בפני עצמן. </w:t>
      </w:r>
      <w:r w:rsidR="00103164">
        <w:rPr>
          <w:rFonts w:hint="cs"/>
          <w:rtl/>
        </w:rPr>
        <w:t>המחזה "</w:t>
      </w:r>
      <w:r>
        <w:rPr>
          <w:rFonts w:hint="cs"/>
          <w:rtl/>
        </w:rPr>
        <w:t>מעגל הגיר</w:t>
      </w:r>
      <w:r w:rsidR="00103164">
        <w:rPr>
          <w:rFonts w:hint="cs"/>
          <w:rtl/>
        </w:rPr>
        <w:t xml:space="preserve">" פותח בריב בין קולחוזים בסיום מלה"ע השנייה בגרוזיה וכאשר הסכסוך נפתר, מציג קולחוז אחד לשני הצגה. כך יוצר ברכט הצגה בתוך מעין סיפור מסגרת, אשר לא חוזרים אליו יותר בהמשך. </w:t>
      </w:r>
      <w:r>
        <w:rPr>
          <w:rFonts w:hint="cs"/>
          <w:rtl/>
        </w:rPr>
        <w:t xml:space="preserve"> </w:t>
      </w:r>
    </w:p>
    <w:p w:rsidR="008D031B" w:rsidRDefault="00476664" w:rsidP="007A5163">
      <w:pPr>
        <w:pStyle w:val="a3"/>
        <w:ind w:left="1191"/>
        <w:jc w:val="both"/>
        <w:rPr>
          <w:rtl/>
        </w:rPr>
      </w:pPr>
      <w:r w:rsidRPr="00476664">
        <w:rPr>
          <w:rFonts w:hint="cs"/>
          <w:u w:val="single"/>
          <w:rtl/>
        </w:rPr>
        <w:t>בהצגה שבתוך הסיפור יש שתי עלילות מקבילות</w:t>
      </w:r>
      <w:r>
        <w:rPr>
          <w:rFonts w:hint="cs"/>
          <w:rtl/>
        </w:rPr>
        <w:t xml:space="preserve"> הקשורות בסיטואציה הפוליטית של ההפיכה בארמון: א. עלילת מסעה של גרושה להצלת התינוק מישל </w:t>
      </w:r>
      <w:r>
        <w:rPr>
          <w:rtl/>
        </w:rPr>
        <w:t>–</w:t>
      </w:r>
      <w:r>
        <w:rPr>
          <w:rFonts w:hint="cs"/>
          <w:rtl/>
        </w:rPr>
        <w:t xml:space="preserve"> בנו של המושל; ב. עלילת עלייתו של אצדק לכס המשפט לאחר ההפיכה. בעלילת גרושה ישנן קפיצות </w:t>
      </w:r>
      <w:r w:rsidR="008D031B">
        <w:rPr>
          <w:rFonts w:hint="cs"/>
          <w:rtl/>
        </w:rPr>
        <w:t>זמן משמעותיות בין תמונה לתמונה ובתוך התמונות. למשל: לאחר שנמלטה מהפונדק בו נחשפה זהותה האמיתית ישנה קפיצה אל החיילים הרודפים אחריה ואז חוזרים לגרושה ומישל וברור שעבר כבר לילה כי המנגנים אומרים: "ללנים בשדות התירס ורד דמדומי השחר פירושו רק כפור". באחד הרגעים המותחים של המחזה, בסוף תמונה ד' כאשר החיילים לוקחים את מישל, יוצר ברכט השהייה ארוכה בעלילת גרושה ועובר לתאר את עלילותיו של השופט אצדק החל מנקודת הזמן שבה התחיל סיפור המחזה. כלומר הרצף העלילתי ההגיוני והסיבתי נשבר, ובאופן הזה ברכט בעצם "הורג" את המתח ומפנה את תשומת הלב שלנו לחיבורים בין הסצנות במקום לדהירה קדימה ולשאלה- מה יקרה עכשיו?</w:t>
      </w:r>
    </w:p>
    <w:p w:rsidR="008D031B" w:rsidRDefault="008D031B" w:rsidP="007A5163">
      <w:pPr>
        <w:pStyle w:val="a3"/>
        <w:numPr>
          <w:ilvl w:val="0"/>
          <w:numId w:val="3"/>
        </w:numPr>
        <w:jc w:val="both"/>
      </w:pPr>
      <w:r w:rsidRPr="00476664">
        <w:rPr>
          <w:rFonts w:hint="cs"/>
          <w:b/>
          <w:bCs/>
          <w:rtl/>
        </w:rPr>
        <w:t xml:space="preserve">עלילה רבת פיתולים ומפוצלת: </w:t>
      </w:r>
      <w:r>
        <w:rPr>
          <w:rFonts w:hint="cs"/>
          <w:rtl/>
        </w:rPr>
        <w:t>בניגוד למחזה הר</w:t>
      </w:r>
      <w:r w:rsidR="00476664">
        <w:rPr>
          <w:rFonts w:hint="cs"/>
          <w:rtl/>
        </w:rPr>
        <w:t>י</w:t>
      </w:r>
      <w:r>
        <w:rPr>
          <w:rFonts w:hint="cs"/>
          <w:rtl/>
        </w:rPr>
        <w:t>אליסטי המתאפיין בעלילה מרכזית אחת (אחדות עלילה), במחזה האפי יכולה להיות יותר מעלילה אחת. אופי העלילה או העלילות הוא מורכב ומרובה התרחשויות. אין תכליתיות המאפיינת את הדרמה- שהיא היוצרת את המתח הדרמטי, ובאופן הזה נקודת המבט של הצופה יכולה להיות יותר שיפוטית, ביקורתית ושכלתנית. במעגל הגיר ישנן שתי עלילות: זו של גרושה וזו של השופט אצדק. בשתיהן ברכט "לוקח את הזמן", הדמויות לא אומרות רק מה שנחוץ כדי להתקדם בעלילה אלא מרחיבות ומפרטות, כולל שירים והתערבויות מספ</w:t>
      </w:r>
      <w:r w:rsidR="00476664">
        <w:rPr>
          <w:rFonts w:hint="cs"/>
          <w:rtl/>
        </w:rPr>
        <w:t>ר המשהות עוד את קצב העלילה. ישנם</w:t>
      </w:r>
      <w:r>
        <w:rPr>
          <w:rFonts w:hint="cs"/>
          <w:rtl/>
        </w:rPr>
        <w:t xml:space="preserve"> פיתולים עלילתיים רבים ותפניות בעלילה, כמו למשל נישואיה של גרושה </w:t>
      </w:r>
      <w:proofErr w:type="spellStart"/>
      <w:r>
        <w:rPr>
          <w:rFonts w:hint="cs"/>
          <w:rtl/>
        </w:rPr>
        <w:t>ליוסוף</w:t>
      </w:r>
      <w:proofErr w:type="spellEnd"/>
      <w:r>
        <w:rPr>
          <w:rFonts w:hint="cs"/>
          <w:rtl/>
        </w:rPr>
        <w:t xml:space="preserve"> הגוסס שקם לפתע לתחייה, וכל הפירוט של טקס הנישואין עם הנזיר השיכור.</w:t>
      </w:r>
    </w:p>
    <w:p w:rsidR="007A5163" w:rsidRDefault="007A5163" w:rsidP="007A5163">
      <w:pPr>
        <w:pStyle w:val="a3"/>
        <w:numPr>
          <w:ilvl w:val="0"/>
          <w:numId w:val="3"/>
        </w:numPr>
        <w:jc w:val="both"/>
      </w:pPr>
      <w:r w:rsidRPr="007A5163">
        <w:rPr>
          <w:rFonts w:hint="cs"/>
          <w:b/>
          <w:bCs/>
          <w:rtl/>
        </w:rPr>
        <w:t>מספר:</w:t>
      </w:r>
      <w:r>
        <w:rPr>
          <w:rFonts w:hint="cs"/>
          <w:rtl/>
        </w:rPr>
        <w:t xml:space="preserve"> המספר בתיאטרון האפי פונה ישירות אל הקהל ומהווה פונקציה מתווכת בין הדמויות לקהל. תפקידי המספר הינם: לקשר בין הסצנות, לידע לגבי זמן ומקום ההתרחשות, לתת פרשנות פילוסופית על המתרחש, לספר על מה שהולך לקרות "ולהרוג" את המתח. דוגמאות ממעגל הגיר: בתמונה השנייה הזמר (שהוא ביחד </w:t>
      </w:r>
      <w:r>
        <w:rPr>
          <w:rFonts w:hint="cs"/>
          <w:rtl/>
        </w:rPr>
        <w:lastRenderedPageBreak/>
        <w:t xml:space="preserve">עם הנגנים מהווים את תפקיד המספר) מספר לנו מיהן הדמויות שאנו עתידים לפגוש, מה מצבן הכלכלי ואיך הן נראות. מיד אחר כך אנו רואים בדיוק את מה שתיאר המספר. בסוף אותה תמונה, ברגע המותח ביותר שבו גרושה צריכה להחליט אם לקחת את התינוק או לא, היא עצמה נעמדת ללא נוע ואילו המספר מתאר את מה שהיה אומר מישל אילו יכול היה לדבר. בעת המפגש המחודש עם סימון מתאר המספר את מחשבותיו של סימון שהן בעצם זיכרונות מלחמה מחרידים: "הראשון נפל לפני, השני נפל אחרי, השלישי לידי. על הראשון דרכתי, את השני הפקרתי...". יש בכך ביטוי ברור לביקורתו הנוקבת של ברכט עצמו על מלחמות באשר הן. המספר מחבר לעלילה של גרושה את החיילים הרודפים אחריה: "בלכת גרושה להרי הצפון הלכו אחריה פרשי השריון של הרוזן </w:t>
      </w:r>
      <w:proofErr w:type="spellStart"/>
      <w:r>
        <w:rPr>
          <w:rFonts w:hint="cs"/>
          <w:rtl/>
        </w:rPr>
        <w:t>קאזבקי</w:t>
      </w:r>
      <w:proofErr w:type="spellEnd"/>
      <w:r>
        <w:rPr>
          <w:rFonts w:hint="cs"/>
          <w:rtl/>
        </w:rPr>
        <w:t xml:space="preserve">". הוא מעביר זמן ומקום: "במנוסתה מפני הפרשים, כעבור עשרים ושניים יום,לרגלי </w:t>
      </w:r>
      <w:proofErr w:type="spellStart"/>
      <w:r>
        <w:rPr>
          <w:rFonts w:hint="cs"/>
          <w:rtl/>
        </w:rPr>
        <w:t>היאנגא</w:t>
      </w:r>
      <w:proofErr w:type="spellEnd"/>
      <w:r>
        <w:rPr>
          <w:rFonts w:hint="cs"/>
          <w:rtl/>
        </w:rPr>
        <w:t>-טאו, הר הקרח, אימצה גרושה את הילד לבן" ונותן משמעות פרשנית: "אימצה חסרת הישע את חסר הישע לבן". ובסוף המחזה נושא הזמר את המסר המרכסיסטי עימו שואף ברכט שנצא מההצגה: "יהי הכול שייך לכל שיוכל להיטיב עימו...".</w:t>
      </w:r>
    </w:p>
    <w:p w:rsidR="001F3862" w:rsidRDefault="001F3862" w:rsidP="007A5163">
      <w:pPr>
        <w:pStyle w:val="a3"/>
        <w:numPr>
          <w:ilvl w:val="0"/>
          <w:numId w:val="3"/>
        </w:numPr>
        <w:jc w:val="both"/>
      </w:pPr>
      <w:r>
        <w:rPr>
          <w:rFonts w:hint="cs"/>
          <w:b/>
          <w:bCs/>
          <w:rtl/>
        </w:rPr>
        <w:t xml:space="preserve">שבירת המתח באמצעות שירים: </w:t>
      </w:r>
      <w:r>
        <w:rPr>
          <w:rFonts w:hint="cs"/>
          <w:rtl/>
        </w:rPr>
        <w:t>ברכט רצה לקטוע תמונות המובילות לקראת שיא רגשי ולכן הרצף העלילתי נקטע ע"י שירים.הקיטוע הזה מונע היסחפות רגשית של הצופה אחרי ההתרחשות. בנוסף השיר עצמו שובר את אשליית המציאות ומזכיר לצופה שהוא בתיאטרון. דוגמאות: ראו דוגמאות בסעיפים הקודמים.</w:t>
      </w:r>
    </w:p>
    <w:p w:rsidR="001F3862" w:rsidRDefault="001F3862" w:rsidP="001F3862">
      <w:pPr>
        <w:pStyle w:val="a3"/>
        <w:numPr>
          <w:ilvl w:val="0"/>
          <w:numId w:val="3"/>
        </w:numPr>
        <w:jc w:val="both"/>
      </w:pPr>
      <w:r w:rsidRPr="001F3862">
        <w:rPr>
          <w:rFonts w:hint="cs"/>
          <w:b/>
          <w:bCs/>
          <w:rtl/>
        </w:rPr>
        <w:t xml:space="preserve">כותרות: </w:t>
      </w:r>
      <w:r>
        <w:rPr>
          <w:rFonts w:hint="cs"/>
          <w:rtl/>
        </w:rPr>
        <w:t xml:space="preserve">במחזות </w:t>
      </w:r>
      <w:proofErr w:type="spellStart"/>
      <w:r>
        <w:rPr>
          <w:rFonts w:hint="cs"/>
          <w:rtl/>
        </w:rPr>
        <w:t>מסויימים</w:t>
      </w:r>
      <w:proofErr w:type="spellEnd"/>
      <w:r>
        <w:rPr>
          <w:rFonts w:hint="cs"/>
          <w:rtl/>
        </w:rPr>
        <w:t xml:space="preserve"> של ברכט ישנה בתחילת כל תמונה כותרת המתארת את ההתרחשות שתהיה בתמונה. באופן הזה הקהל יודע מראש מה צפוי לקרות ולא נמצא במתח.   </w:t>
      </w:r>
    </w:p>
    <w:p w:rsidR="001F3862" w:rsidRDefault="001F3862" w:rsidP="001F3862">
      <w:pPr>
        <w:pStyle w:val="a3"/>
        <w:ind w:left="1440"/>
        <w:jc w:val="both"/>
        <w:rPr>
          <w:rtl/>
        </w:rPr>
      </w:pPr>
      <w:r>
        <w:rPr>
          <w:rFonts w:hint="cs"/>
          <w:rtl/>
        </w:rPr>
        <w:t xml:space="preserve">                                                                                                                                                                                             במעגל הגיר לא קיים תיאור כזה אך לכל תמונה יש כותרת המצביעה על תוכן ההתרחשות, למשל: הריב על העמק, הילד הרם, המנוסה אל הרי הצפון, סיפורו של השופט, מעגל הגיר. במחזה זה הזמר ממלא את הפונקציה של מתן תקציר ההתרחשות: "שמעו עכשיו את סיפור השופט: כיצד היה לשופט, איך שפט ואיזה מין שופט הוא". "שמעו נא עתה את סיפור המשפט על הילד..".</w:t>
      </w:r>
    </w:p>
    <w:p w:rsidR="007A5163" w:rsidRDefault="007A5163" w:rsidP="007A5163">
      <w:pPr>
        <w:pStyle w:val="a3"/>
        <w:ind w:left="1440"/>
      </w:pPr>
    </w:p>
    <w:p w:rsidR="00476664" w:rsidRDefault="00476664" w:rsidP="00476664">
      <w:pPr>
        <w:pStyle w:val="a3"/>
        <w:ind w:left="1440"/>
        <w:rPr>
          <w:rtl/>
        </w:rPr>
      </w:pPr>
    </w:p>
    <w:p w:rsidR="00476664" w:rsidRDefault="00476664" w:rsidP="00476664">
      <w:pPr>
        <w:pStyle w:val="a3"/>
        <w:numPr>
          <w:ilvl w:val="0"/>
          <w:numId w:val="1"/>
        </w:numPr>
        <w:rPr>
          <w:u w:val="single"/>
        </w:rPr>
      </w:pPr>
      <w:r w:rsidRPr="00476664">
        <w:rPr>
          <w:rFonts w:hint="cs"/>
          <w:b/>
          <w:bCs/>
          <w:u w:val="single"/>
          <w:rtl/>
        </w:rPr>
        <w:t xml:space="preserve">מקום וזמן </w:t>
      </w:r>
      <w:r w:rsidRPr="00476664">
        <w:rPr>
          <w:b/>
          <w:bCs/>
          <w:u w:val="single"/>
          <w:rtl/>
        </w:rPr>
        <w:t>–</w:t>
      </w:r>
      <w:r w:rsidRPr="00476664">
        <w:rPr>
          <w:rFonts w:hint="cs"/>
          <w:b/>
          <w:bCs/>
          <w:u w:val="single"/>
          <w:rtl/>
        </w:rPr>
        <w:t xml:space="preserve"> היסטורי פיקציה</w:t>
      </w:r>
    </w:p>
    <w:p w:rsidR="00476664" w:rsidRDefault="00476664" w:rsidP="00476664">
      <w:pPr>
        <w:pStyle w:val="a3"/>
        <w:ind w:right="720"/>
        <w:rPr>
          <w:u w:val="single"/>
          <w:rtl/>
        </w:rPr>
      </w:pPr>
    </w:p>
    <w:p w:rsidR="007A5163" w:rsidRDefault="007A5163" w:rsidP="00032377">
      <w:pPr>
        <w:pStyle w:val="a3"/>
        <w:ind w:right="720"/>
        <w:rPr>
          <w:rtl/>
        </w:rPr>
      </w:pPr>
      <w:r w:rsidRPr="00476664">
        <w:rPr>
          <w:rFonts w:hint="cs"/>
          <w:rtl/>
        </w:rPr>
        <w:t xml:space="preserve">ההיסטורי פיקציה היא </w:t>
      </w:r>
      <w:r w:rsidRPr="007A5163">
        <w:rPr>
          <w:rFonts w:hint="cs"/>
          <w:b/>
          <w:bCs/>
          <w:rtl/>
        </w:rPr>
        <w:t>הרחקה במקום ובזמן</w:t>
      </w:r>
      <w:r>
        <w:rPr>
          <w:rFonts w:hint="cs"/>
          <w:rtl/>
        </w:rPr>
        <w:t xml:space="preserve"> </w:t>
      </w:r>
      <w:r>
        <w:rPr>
          <w:rtl/>
        </w:rPr>
        <w:t>–</w:t>
      </w:r>
      <w:r>
        <w:rPr>
          <w:rFonts w:hint="cs"/>
          <w:rtl/>
        </w:rPr>
        <w:t xml:space="preserve"> ישנו </w:t>
      </w:r>
      <w:r>
        <w:rPr>
          <w:rtl/>
        </w:rPr>
        <w:t>שימוש ברקע עלילתי שהוא או היסטורי, או מורחק באופן מודגש מחוויות היום יום המוכרות, או מבוסס על סיפור מוכר, על יצירה דרמטית מוכרת, או שימוש באגדות עם.</w:t>
      </w:r>
      <w:r>
        <w:rPr>
          <w:rFonts w:hint="cs"/>
          <w:rtl/>
        </w:rPr>
        <w:t xml:space="preserve"> גם המיקום הגיאוגרפי שונה ומרוחק. ההרחקה אמורה למנוע מהקהל להזדהות עם תכנים המוכרים לו מחיי היום יום ול</w:t>
      </w:r>
      <w:r w:rsidR="00032377">
        <w:rPr>
          <w:rFonts w:hint="cs"/>
          <w:rtl/>
        </w:rPr>
        <w:t xml:space="preserve">מנוע ממנו השתקעות </w:t>
      </w:r>
      <w:r>
        <w:rPr>
          <w:rFonts w:hint="cs"/>
          <w:rtl/>
        </w:rPr>
        <w:t>בעלילה מתוך מעורבות רגשית.</w:t>
      </w:r>
      <w:r w:rsidR="00476664">
        <w:rPr>
          <w:rFonts w:hint="cs"/>
          <w:rtl/>
        </w:rPr>
        <w:t xml:space="preserve"> </w:t>
      </w:r>
    </w:p>
    <w:p w:rsidR="00476664" w:rsidRDefault="00476664" w:rsidP="007A5163">
      <w:pPr>
        <w:pStyle w:val="a3"/>
        <w:ind w:right="720"/>
        <w:rPr>
          <w:rtl/>
        </w:rPr>
      </w:pPr>
      <w:r>
        <w:rPr>
          <w:rFonts w:hint="cs"/>
          <w:rtl/>
        </w:rPr>
        <w:t>ההרחקה, על פי ברכט, נועדה כדי שהצופה יהיה פנוי להתבונן ולחשוב באופן ביקורתי על המוצג לפניו. בנוסף, ברכט ביקש ליצור אירועים כאילו היסטוריים (כמו למשל הפיכה פוליטית בחצר המושל) כדי שהצופה יהיה מעין מדען החוקר את האירועים ה</w:t>
      </w:r>
      <w:r w:rsidR="007A5163">
        <w:rPr>
          <w:rFonts w:hint="cs"/>
          <w:rtl/>
        </w:rPr>
        <w:t xml:space="preserve">מוצגים וכן מתוך תפיסה שמה שהתרחש בעבר, עלול להתרחש תמיד. </w:t>
      </w:r>
    </w:p>
    <w:p w:rsidR="007A5163" w:rsidRDefault="007A5163" w:rsidP="007A5163">
      <w:pPr>
        <w:ind w:left="720"/>
        <w:rPr>
          <w:rtl/>
        </w:rPr>
      </w:pPr>
      <w:r>
        <w:rPr>
          <w:rFonts w:hint="cs"/>
          <w:rtl/>
        </w:rPr>
        <w:t xml:space="preserve">במעגל הגיר הפרולוג (הקדמה) מרחיק את הסיפור לכפר קווקזי של תום מלחמת העולם </w:t>
      </w:r>
      <w:proofErr w:type="spellStart"/>
      <w:r>
        <w:rPr>
          <w:rFonts w:hint="cs"/>
          <w:rtl/>
        </w:rPr>
        <w:t>השניה</w:t>
      </w:r>
      <w:proofErr w:type="spellEnd"/>
      <w:r>
        <w:rPr>
          <w:rFonts w:hint="cs"/>
          <w:rtl/>
        </w:rPr>
        <w:t xml:space="preserve"> (שזהו דווקא זמן כתיבת המחזה) אך הסיפור עצמו מתרחש "בימים משכבר" ומבוסס על אגדה סינית עתיקה שהועתקה לעיר בגרוזיה. הסיפור מהדהד גם את משפט שלמה.</w:t>
      </w:r>
    </w:p>
    <w:p w:rsidR="008D031B" w:rsidRDefault="001F3862" w:rsidP="007A5163">
      <w:pPr>
        <w:pStyle w:val="a3"/>
        <w:ind w:left="737"/>
        <w:rPr>
          <w:rtl/>
        </w:rPr>
      </w:pPr>
      <w:r>
        <w:rPr>
          <w:rFonts w:hint="cs"/>
          <w:b/>
          <w:bCs/>
          <w:rtl/>
        </w:rPr>
        <w:t xml:space="preserve">משך העלילה - </w:t>
      </w:r>
      <w:r w:rsidR="008D031B" w:rsidRPr="00A577B4">
        <w:rPr>
          <w:rFonts w:hint="cs"/>
          <w:rtl/>
        </w:rPr>
        <w:t>בניגוד לדרמה הר</w:t>
      </w:r>
      <w:r w:rsidR="00476664">
        <w:rPr>
          <w:rFonts w:hint="cs"/>
          <w:rtl/>
        </w:rPr>
        <w:t>י</w:t>
      </w:r>
      <w:r w:rsidR="008D031B" w:rsidRPr="00A577B4">
        <w:rPr>
          <w:rFonts w:hint="cs"/>
          <w:rtl/>
        </w:rPr>
        <w:t>אליסטית המתאפיינת באחדות זמן, ומשכה נע בד"כ בין יממה לשלושה ימים, העלילה האפית נמשכת חודשים ושנים.</w:t>
      </w:r>
      <w:r w:rsidR="008D031B" w:rsidRPr="00476664">
        <w:rPr>
          <w:rFonts w:hint="cs"/>
          <w:color w:val="FF0000"/>
          <w:rtl/>
        </w:rPr>
        <w:t xml:space="preserve"> </w:t>
      </w:r>
      <w:r w:rsidR="008D031B">
        <w:rPr>
          <w:rFonts w:hint="cs"/>
          <w:rtl/>
        </w:rPr>
        <w:t xml:space="preserve">במעגל הגיר העלילה </w:t>
      </w:r>
      <w:r w:rsidR="008D031B">
        <w:rPr>
          <w:rFonts w:hint="cs"/>
          <w:rtl/>
        </w:rPr>
        <w:lastRenderedPageBreak/>
        <w:t xml:space="preserve">מתפרסת על פני שלוש שנים </w:t>
      </w:r>
      <w:r w:rsidR="008D031B">
        <w:rPr>
          <w:rtl/>
        </w:rPr>
        <w:t>–</w:t>
      </w:r>
      <w:r w:rsidR="008D031B">
        <w:rPr>
          <w:rFonts w:hint="cs"/>
          <w:rtl/>
        </w:rPr>
        <w:t xml:space="preserve"> מינקותו של מישל ועד הגיעו לגיל שלוש.</w:t>
      </w:r>
      <w:r w:rsidR="007A5163">
        <w:rPr>
          <w:rFonts w:hint="cs"/>
          <w:rtl/>
        </w:rPr>
        <w:t xml:space="preserve"> </w:t>
      </w:r>
      <w:r w:rsidR="008D031B">
        <w:rPr>
          <w:rFonts w:hint="cs"/>
          <w:rtl/>
        </w:rPr>
        <w:t>בדרמה הר</w:t>
      </w:r>
      <w:r w:rsidR="007A5163">
        <w:rPr>
          <w:rFonts w:hint="cs"/>
          <w:rtl/>
        </w:rPr>
        <w:t>י</w:t>
      </w:r>
      <w:r w:rsidR="008D031B">
        <w:rPr>
          <w:rFonts w:hint="cs"/>
          <w:rtl/>
        </w:rPr>
        <w:t>אליסטית הזמן מתקדם תמיד קדימה, ואילו במעגל הגיר ישנן גם קפיצות אחורה בזמן, כאשר מסופרות לנו עלילותיו של השופט אצדק.</w:t>
      </w:r>
    </w:p>
    <w:p w:rsidR="008D031B" w:rsidRDefault="008D031B" w:rsidP="001F3862">
      <w:pPr>
        <w:ind w:left="720"/>
        <w:rPr>
          <w:rtl/>
        </w:rPr>
      </w:pPr>
      <w:r>
        <w:rPr>
          <w:rFonts w:hint="cs"/>
          <w:b/>
          <w:bCs/>
          <w:rtl/>
        </w:rPr>
        <w:t>מקו</w:t>
      </w:r>
      <w:r w:rsidR="001F3862">
        <w:rPr>
          <w:rFonts w:hint="cs"/>
          <w:b/>
          <w:bCs/>
          <w:rtl/>
        </w:rPr>
        <w:t>מות ההתרחשות -</w:t>
      </w:r>
      <w:r>
        <w:rPr>
          <w:rFonts w:hint="cs"/>
          <w:rtl/>
        </w:rPr>
        <w:t xml:space="preserve"> אין אחדות מקום כמו בדרמה הר</w:t>
      </w:r>
      <w:r w:rsidR="007A5163">
        <w:rPr>
          <w:rFonts w:hint="cs"/>
          <w:rtl/>
        </w:rPr>
        <w:t>י</w:t>
      </w:r>
      <w:r>
        <w:rPr>
          <w:rFonts w:hint="cs"/>
          <w:rtl/>
        </w:rPr>
        <w:t xml:space="preserve">אליסטית (למשל: הסלון הבורגני בבית בובות). העלילה מתרחשת במקומות רבים ומרוחקים זה מזה. מעגל הגיר מתרחש במקומות רבים: חצר ארמון המושל בעיר </w:t>
      </w:r>
      <w:proofErr w:type="spellStart"/>
      <w:r>
        <w:rPr>
          <w:rFonts w:hint="cs"/>
          <w:rtl/>
        </w:rPr>
        <w:t>נוחא</w:t>
      </w:r>
      <w:proofErr w:type="spellEnd"/>
      <w:r>
        <w:rPr>
          <w:rFonts w:hint="cs"/>
          <w:rtl/>
        </w:rPr>
        <w:t xml:space="preserve">, בדרכים הכפריות וההרריות המובילות לבית האח בצפון (פונדק, גשר רעוע, בית האיכרה </w:t>
      </w:r>
      <w:proofErr w:type="spellStart"/>
      <w:r>
        <w:rPr>
          <w:rFonts w:hint="cs"/>
          <w:rtl/>
        </w:rPr>
        <w:t>וכו</w:t>
      </w:r>
      <w:proofErr w:type="spellEnd"/>
      <w:r>
        <w:rPr>
          <w:rFonts w:hint="cs"/>
          <w:rtl/>
        </w:rPr>
        <w:t xml:space="preserve">), בית האח, ביתו של החתן </w:t>
      </w:r>
      <w:proofErr w:type="spellStart"/>
      <w:r>
        <w:rPr>
          <w:rFonts w:hint="cs"/>
          <w:rtl/>
        </w:rPr>
        <w:t>יוסוף</w:t>
      </w:r>
      <w:proofErr w:type="spellEnd"/>
      <w:r>
        <w:rPr>
          <w:rFonts w:hint="cs"/>
          <w:rtl/>
        </w:rPr>
        <w:t>, ביתו של אצדק, בית המשפט ועוד. אין אפשרות להציג ריבוי כזה באופן ר</w:t>
      </w:r>
      <w:r w:rsidR="007A5163">
        <w:rPr>
          <w:rFonts w:hint="cs"/>
          <w:rtl/>
        </w:rPr>
        <w:t>י</w:t>
      </w:r>
      <w:r>
        <w:rPr>
          <w:rFonts w:hint="cs"/>
          <w:rtl/>
        </w:rPr>
        <w:t>אליסטי והדבר מכתיב אמצעים בימתיים מסוגננים ושוברי אשליית מציאות.</w:t>
      </w:r>
    </w:p>
    <w:p w:rsidR="001F3862" w:rsidRDefault="001F3862" w:rsidP="001F3862">
      <w:pPr>
        <w:ind w:left="720"/>
        <w:rPr>
          <w:rtl/>
        </w:rPr>
      </w:pPr>
      <w:r>
        <w:rPr>
          <w:rFonts w:hint="cs"/>
          <w:b/>
          <w:bCs/>
          <w:rtl/>
        </w:rPr>
        <w:t xml:space="preserve">הוראות הבמה במחזה </w:t>
      </w:r>
      <w:r>
        <w:rPr>
          <w:b/>
          <w:bCs/>
          <w:rtl/>
        </w:rPr>
        <w:t>–</w:t>
      </w:r>
      <w:r>
        <w:rPr>
          <w:rFonts w:hint="cs"/>
          <w:rtl/>
        </w:rPr>
        <w:t xml:space="preserve"> בתמונת הפתיחה של הריב על העמק נאמר שבהצגה שהכינו לכבוד ההסכם בין הקולחוזים יהיה שימוש במסכות. יש גם שירים רבים שהדמויות שרות (למשל גרושה השרה למישל, או אצדק ששר על סבו </w:t>
      </w:r>
      <w:proofErr w:type="spellStart"/>
      <w:r>
        <w:rPr>
          <w:rFonts w:hint="cs"/>
          <w:rtl/>
        </w:rPr>
        <w:t>וכו</w:t>
      </w:r>
      <w:proofErr w:type="spellEnd"/>
      <w:r>
        <w:rPr>
          <w:rFonts w:hint="cs"/>
          <w:rtl/>
        </w:rPr>
        <w:t xml:space="preserve">'). גם התאורה אינה מנסה ליצור אשליה של מציאות. למשל, בתמונת אצדק יש הוראת במה לאור אדום ברקע, כדי להעביר מידע על הקרבות בארמון. הוראות במה אלה מדגישות את התיאטרליות של ההצגה ואת היותה מסוגננת. </w:t>
      </w:r>
    </w:p>
    <w:p w:rsidR="008D031B" w:rsidRDefault="008D031B" w:rsidP="007A5163">
      <w:pPr>
        <w:ind w:left="720"/>
        <w:rPr>
          <w:rtl/>
        </w:rPr>
      </w:pPr>
    </w:p>
    <w:p w:rsidR="008D031B" w:rsidRDefault="008D031B" w:rsidP="008D031B">
      <w:pPr>
        <w:spacing w:after="0" w:line="240" w:lineRule="auto"/>
        <w:ind w:left="360"/>
        <w:jc w:val="both"/>
        <w:rPr>
          <w:rFonts w:cs="David"/>
          <w:b/>
          <w:bCs/>
          <w:szCs w:val="24"/>
          <w:rtl/>
        </w:rPr>
      </w:pPr>
    </w:p>
    <w:p w:rsidR="008D031B" w:rsidRDefault="008D031B" w:rsidP="008D031B">
      <w:pPr>
        <w:jc w:val="both"/>
        <w:rPr>
          <w:rFonts w:cs="David"/>
          <w:b/>
          <w:bCs/>
          <w:szCs w:val="24"/>
        </w:rPr>
      </w:pPr>
    </w:p>
    <w:p w:rsidR="008D031B" w:rsidRDefault="008D031B" w:rsidP="008D031B">
      <w:pPr>
        <w:ind w:left="720"/>
        <w:jc w:val="both"/>
        <w:rPr>
          <w:b/>
          <w:bCs/>
          <w:u w:val="single"/>
          <w:rtl/>
        </w:rPr>
      </w:pPr>
    </w:p>
    <w:p w:rsidR="008D031B" w:rsidRDefault="008D031B" w:rsidP="008D031B">
      <w:pPr>
        <w:ind w:left="720"/>
        <w:jc w:val="both"/>
        <w:rPr>
          <w:b/>
          <w:bCs/>
          <w:u w:val="single"/>
        </w:rPr>
      </w:pPr>
    </w:p>
    <w:p w:rsidR="00F2263E" w:rsidRDefault="00F2263E"/>
    <w:sectPr w:rsidR="00F2263E" w:rsidSect="00C576A9">
      <w:headerReference w:type="default" r:id="rId7"/>
      <w:pgSz w:w="11906" w:h="16838"/>
      <w:pgMar w:top="1440" w:right="1800" w:bottom="1440" w:left="1800" w:header="720" w:footer="720" w:gutter="0"/>
      <w:cols w:space="720"/>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58C4" w:rsidRDefault="003258C4" w:rsidP="001F3862">
      <w:pPr>
        <w:spacing w:after="0" w:line="240" w:lineRule="auto"/>
      </w:pPr>
      <w:r>
        <w:separator/>
      </w:r>
    </w:p>
  </w:endnote>
  <w:endnote w:type="continuationSeparator" w:id="0">
    <w:p w:rsidR="003258C4" w:rsidRDefault="003258C4" w:rsidP="001F38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58C4" w:rsidRDefault="003258C4" w:rsidP="001F3862">
      <w:pPr>
        <w:spacing w:after="0" w:line="240" w:lineRule="auto"/>
      </w:pPr>
      <w:r>
        <w:separator/>
      </w:r>
    </w:p>
  </w:footnote>
  <w:footnote w:type="continuationSeparator" w:id="0">
    <w:p w:rsidR="003258C4" w:rsidRDefault="003258C4" w:rsidP="001F38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3651063"/>
      <w:docPartObj>
        <w:docPartGallery w:val="Page Numbers (Top of Page)"/>
        <w:docPartUnique/>
      </w:docPartObj>
    </w:sdtPr>
    <w:sdtContent>
      <w:p w:rsidR="001F3862" w:rsidRDefault="006F4E9B">
        <w:pPr>
          <w:pStyle w:val="a4"/>
          <w:jc w:val="center"/>
        </w:pPr>
        <w:fldSimple w:instr=" PAGE   \* MERGEFORMAT ">
          <w:r w:rsidR="00032377" w:rsidRPr="00032377">
            <w:rPr>
              <w:rFonts w:cs="Calibri"/>
              <w:noProof/>
              <w:rtl/>
              <w:lang w:val="he-IL"/>
            </w:rPr>
            <w:t>4</w:t>
          </w:r>
        </w:fldSimple>
      </w:p>
    </w:sdtContent>
  </w:sdt>
  <w:p w:rsidR="001F3862" w:rsidRDefault="001F3862">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B6998"/>
    <w:multiLevelType w:val="hybridMultilevel"/>
    <w:tmpl w:val="FA1A4D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5A43E2F"/>
    <w:multiLevelType w:val="hybridMultilevel"/>
    <w:tmpl w:val="51B27FB8"/>
    <w:lvl w:ilvl="0" w:tplc="42E229A6">
      <w:start w:val="1"/>
      <w:numFmt w:val="hebrew1"/>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4D1158DC"/>
    <w:multiLevelType w:val="hybridMultilevel"/>
    <w:tmpl w:val="B0D2F5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B335465"/>
    <w:multiLevelType w:val="hybridMultilevel"/>
    <w:tmpl w:val="748ED93E"/>
    <w:lvl w:ilvl="0" w:tplc="0409000F">
      <w:start w:val="1"/>
      <w:numFmt w:val="decimal"/>
      <w:lvlText w:val="%1."/>
      <w:lvlJc w:val="left"/>
      <w:pPr>
        <w:ind w:left="720" w:right="720" w:hanging="360"/>
      </w:pPr>
      <w:rPr>
        <w:rFonts w:hint="default"/>
      </w:rPr>
    </w:lvl>
    <w:lvl w:ilvl="1" w:tplc="04090019" w:tentative="1">
      <w:start w:val="1"/>
      <w:numFmt w:val="lowerLetter"/>
      <w:lvlText w:val="%2."/>
      <w:lvlJc w:val="left"/>
      <w:pPr>
        <w:ind w:left="1440" w:right="1440" w:hanging="360"/>
      </w:pPr>
    </w:lvl>
    <w:lvl w:ilvl="2" w:tplc="0409001B" w:tentative="1">
      <w:start w:val="1"/>
      <w:numFmt w:val="lowerRoman"/>
      <w:lvlText w:val="%3."/>
      <w:lvlJc w:val="right"/>
      <w:pPr>
        <w:ind w:left="2160" w:right="2160" w:hanging="180"/>
      </w:pPr>
    </w:lvl>
    <w:lvl w:ilvl="3" w:tplc="0409000F" w:tentative="1">
      <w:start w:val="1"/>
      <w:numFmt w:val="decimal"/>
      <w:lvlText w:val="%4."/>
      <w:lvlJc w:val="left"/>
      <w:pPr>
        <w:ind w:left="2880" w:right="2880" w:hanging="360"/>
      </w:pPr>
    </w:lvl>
    <w:lvl w:ilvl="4" w:tplc="04090019" w:tentative="1">
      <w:start w:val="1"/>
      <w:numFmt w:val="lowerLetter"/>
      <w:lvlText w:val="%5."/>
      <w:lvlJc w:val="left"/>
      <w:pPr>
        <w:ind w:left="3600" w:right="3600" w:hanging="360"/>
      </w:pPr>
    </w:lvl>
    <w:lvl w:ilvl="5" w:tplc="0409001B" w:tentative="1">
      <w:start w:val="1"/>
      <w:numFmt w:val="lowerRoman"/>
      <w:lvlText w:val="%6."/>
      <w:lvlJc w:val="right"/>
      <w:pPr>
        <w:ind w:left="4320" w:right="4320" w:hanging="180"/>
      </w:pPr>
    </w:lvl>
    <w:lvl w:ilvl="6" w:tplc="0409000F" w:tentative="1">
      <w:start w:val="1"/>
      <w:numFmt w:val="decimal"/>
      <w:lvlText w:val="%7."/>
      <w:lvlJc w:val="left"/>
      <w:pPr>
        <w:ind w:left="5040" w:right="5040" w:hanging="360"/>
      </w:pPr>
    </w:lvl>
    <w:lvl w:ilvl="7" w:tplc="04090019" w:tentative="1">
      <w:start w:val="1"/>
      <w:numFmt w:val="lowerLetter"/>
      <w:lvlText w:val="%8."/>
      <w:lvlJc w:val="left"/>
      <w:pPr>
        <w:ind w:left="5760" w:right="5760" w:hanging="360"/>
      </w:pPr>
    </w:lvl>
    <w:lvl w:ilvl="8" w:tplc="0409001B" w:tentative="1">
      <w:start w:val="1"/>
      <w:numFmt w:val="lowerRoman"/>
      <w:lvlText w:val="%9."/>
      <w:lvlJc w:val="right"/>
      <w:pPr>
        <w:ind w:left="6480" w:righ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D031B"/>
    <w:rsid w:val="00032377"/>
    <w:rsid w:val="00036CB8"/>
    <w:rsid w:val="000804AF"/>
    <w:rsid w:val="00103164"/>
    <w:rsid w:val="001F3862"/>
    <w:rsid w:val="003258C4"/>
    <w:rsid w:val="00476664"/>
    <w:rsid w:val="006F4E9B"/>
    <w:rsid w:val="007A5163"/>
    <w:rsid w:val="008D031B"/>
    <w:rsid w:val="008E4DC1"/>
    <w:rsid w:val="00A43352"/>
    <w:rsid w:val="00BB6EE7"/>
    <w:rsid w:val="00C5393C"/>
    <w:rsid w:val="00C576A9"/>
    <w:rsid w:val="00C71064"/>
    <w:rsid w:val="00F2263E"/>
    <w:rsid w:val="00FA7142"/>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line="360" w:lineRule="auto"/>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031B"/>
    <w:pPr>
      <w:bidi/>
      <w:spacing w:after="200" w:line="276" w:lineRule="auto"/>
      <w:ind w:left="0"/>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04AF"/>
    <w:pPr>
      <w:ind w:left="720"/>
      <w:contextualSpacing/>
    </w:pPr>
  </w:style>
  <w:style w:type="paragraph" w:styleId="a4">
    <w:name w:val="header"/>
    <w:basedOn w:val="a"/>
    <w:link w:val="a5"/>
    <w:uiPriority w:val="99"/>
    <w:unhideWhenUsed/>
    <w:rsid w:val="001F3862"/>
    <w:pPr>
      <w:tabs>
        <w:tab w:val="center" w:pos="4153"/>
        <w:tab w:val="right" w:pos="8306"/>
      </w:tabs>
      <w:spacing w:after="0" w:line="240" w:lineRule="auto"/>
    </w:pPr>
  </w:style>
  <w:style w:type="character" w:customStyle="1" w:styleId="a5">
    <w:name w:val="כותרת עליונה תו"/>
    <w:basedOn w:val="a0"/>
    <w:link w:val="a4"/>
    <w:uiPriority w:val="99"/>
    <w:rsid w:val="001F3862"/>
    <w:rPr>
      <w:rFonts w:ascii="Calibri" w:eastAsia="Calibri" w:hAnsi="Calibri" w:cs="Arial"/>
    </w:rPr>
  </w:style>
  <w:style w:type="paragraph" w:styleId="a6">
    <w:name w:val="footer"/>
    <w:basedOn w:val="a"/>
    <w:link w:val="a7"/>
    <w:uiPriority w:val="99"/>
    <w:semiHidden/>
    <w:unhideWhenUsed/>
    <w:rsid w:val="001F3862"/>
    <w:pPr>
      <w:tabs>
        <w:tab w:val="center" w:pos="4153"/>
        <w:tab w:val="right" w:pos="8306"/>
      </w:tabs>
      <w:spacing w:after="0" w:line="240" w:lineRule="auto"/>
    </w:pPr>
  </w:style>
  <w:style w:type="character" w:customStyle="1" w:styleId="a7">
    <w:name w:val="כותרת תחתונה תו"/>
    <w:basedOn w:val="a0"/>
    <w:link w:val="a6"/>
    <w:uiPriority w:val="99"/>
    <w:semiHidden/>
    <w:rsid w:val="001F3862"/>
    <w:rPr>
      <w:rFonts w:ascii="Calibri" w:eastAsia="Calibri" w:hAnsi="Calibri" w:cs="Aria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4</Pages>
  <Words>1577</Words>
  <Characters>7885</Characters>
  <Application>Microsoft Office Word</Application>
  <DocSecurity>0</DocSecurity>
  <Lines>65</Lines>
  <Paragraphs>18</Paragraphs>
  <ScaleCrop>false</ScaleCrop>
  <HeadingPairs>
    <vt:vector size="2" baseType="variant">
      <vt:variant>
        <vt:lpstr>שם</vt:lpstr>
      </vt:variant>
      <vt:variant>
        <vt:i4>1</vt:i4>
      </vt:variant>
    </vt:vector>
  </HeadingPairs>
  <TitlesOfParts>
    <vt:vector size="1" baseType="lpstr">
      <vt:lpstr/>
    </vt:vector>
  </TitlesOfParts>
  <Company>Grizli777</Company>
  <LinksUpToDate>false</LinksUpToDate>
  <CharactersWithSpaces>9444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ANAT</dc:creator>
  <cp:lastModifiedBy>anat</cp:lastModifiedBy>
  <cp:revision>4</cp:revision>
  <dcterms:created xsi:type="dcterms:W3CDTF">2013-03-17T06:35:00Z</dcterms:created>
  <dcterms:modified xsi:type="dcterms:W3CDTF">2015-03-25T21:52:00Z</dcterms:modified>
</cp:coreProperties>
</file>