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5C" w:rsidRPr="00814F5C" w:rsidRDefault="00814F5C" w:rsidP="00814F5C">
      <w:pPr>
        <w:jc w:val="center"/>
        <w:rPr>
          <w:rFonts w:cs="David" w:hint="cs"/>
          <w:b/>
          <w:bCs/>
          <w:sz w:val="24"/>
          <w:szCs w:val="24"/>
          <w:u w:val="single"/>
          <w:rtl/>
        </w:rPr>
      </w:pPr>
      <w:r w:rsidRPr="00814F5C">
        <w:rPr>
          <w:rFonts w:cs="David" w:hint="cs"/>
          <w:b/>
          <w:bCs/>
          <w:sz w:val="24"/>
          <w:szCs w:val="24"/>
          <w:u w:val="single"/>
          <w:rtl/>
        </w:rPr>
        <w:t>מאפייניה של מדינת ישראל כמדינה יהודית</w:t>
      </w:r>
    </w:p>
    <w:p w:rsidR="00814F5C" w:rsidRPr="00814F5C" w:rsidRDefault="00814F5C" w:rsidP="00814F5C">
      <w:pPr>
        <w:jc w:val="center"/>
        <w:rPr>
          <w:rFonts w:ascii="Times New Roman" w:hAnsi="Times New Roman" w:cs="David"/>
          <w:b/>
          <w:bCs/>
          <w:sz w:val="24"/>
          <w:szCs w:val="24"/>
          <w:u w:val="single"/>
          <w:rtl/>
        </w:rPr>
      </w:pPr>
      <w:r w:rsidRPr="00814F5C">
        <w:rPr>
          <w:rFonts w:ascii="Times New Roman" w:hAnsi="Times New Roman" w:cs="David"/>
          <w:b/>
          <w:bCs/>
          <w:sz w:val="24"/>
          <w:szCs w:val="24"/>
          <w:u w:val="single"/>
          <w:rtl/>
        </w:rPr>
        <w:t>לאום ומדינת לאום</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מדינה ריבונית – טריטוריה מוגדרת, אוכלוסיה מוגדרת, שלטון (אמצעי כפיה), עצמאות (ריבונות)</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קבוצה אתנית – קבוצה בעלת יסודות משותפים שלא מבחירה (כגון: מוצא (עדה), שפה, תרבות, היסטוריה ולעיתים אף דת), שאינה שואפת להגדרה עצמאית (ריבונות).</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לאום – קבוצה בעלת זהות משותפת השואפת להגדרה עצמאית (עצמאות)</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לאומיות אתנית - קבוצה בעלת יסודות משותפים שלא מבחירה (כגון: מוצא (עדה), שפה, תרבות, היסטוריה ולעיתים אף דת), שכן שואפת להגדרה עצמאית (ריבונות).</w:t>
      </w:r>
    </w:p>
    <w:p w:rsidR="00814F5C" w:rsidRPr="00814F5C" w:rsidRDefault="00814F5C" w:rsidP="00814F5C">
      <w:pPr>
        <w:spacing w:line="240" w:lineRule="auto"/>
        <w:ind w:right="-709"/>
        <w:rPr>
          <w:rFonts w:ascii="Times New Roman" w:hAnsi="Times New Roman" w:cs="David"/>
          <w:sz w:val="24"/>
          <w:szCs w:val="24"/>
          <w:rtl/>
        </w:rPr>
      </w:pPr>
      <w:r w:rsidRPr="00814F5C">
        <w:rPr>
          <w:rFonts w:ascii="Times New Roman" w:hAnsi="Times New Roman" w:cs="David"/>
          <w:sz w:val="24"/>
          <w:szCs w:val="24"/>
          <w:rtl/>
        </w:rPr>
        <w:t>לאומיות פוליטית - קבוצה בעלת יסודות משותפים שכן מבחירה (כגון: ערכים ואידיאולוגיה), ושכן שואפת להגדרה עצמאית (ריבונות).</w:t>
      </w:r>
    </w:p>
    <w:p w:rsidR="00814F5C" w:rsidRPr="00814F5C" w:rsidRDefault="00814F5C" w:rsidP="00814F5C">
      <w:pPr>
        <w:spacing w:line="240" w:lineRule="auto"/>
        <w:ind w:right="-567"/>
        <w:rPr>
          <w:rFonts w:ascii="Times New Roman" w:hAnsi="Times New Roman" w:cs="David"/>
          <w:sz w:val="24"/>
          <w:szCs w:val="24"/>
          <w:rtl/>
        </w:rPr>
      </w:pPr>
      <w:r w:rsidRPr="00814F5C">
        <w:rPr>
          <w:rFonts w:ascii="Times New Roman" w:hAnsi="Times New Roman" w:cs="David"/>
          <w:sz w:val="24"/>
          <w:szCs w:val="24"/>
          <w:rtl/>
        </w:rPr>
        <w:t xml:space="preserve">מדינת לאום – קיימת זיקה בין השלטון לבין קבוצת לאום מסוימת במדינה. (דוגמא: פורטוגל, ישראל, ארה"ב) </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מדינה דו-לאומית – מעמד שווה לשני עמים במסגרת המדינה. (דוגמא: בלגיה)</w:t>
      </w:r>
    </w:p>
    <w:p w:rsidR="00814F5C" w:rsidRPr="00814F5C" w:rsidRDefault="00814F5C" w:rsidP="00814F5C">
      <w:pPr>
        <w:spacing w:line="240" w:lineRule="auto"/>
        <w:rPr>
          <w:rFonts w:ascii="Times New Roman" w:hAnsi="Times New Roman" w:cs="David"/>
          <w:sz w:val="24"/>
          <w:szCs w:val="24"/>
          <w:rtl/>
        </w:rPr>
      </w:pPr>
      <w:r w:rsidRPr="00814F5C">
        <w:rPr>
          <w:rFonts w:ascii="Times New Roman" w:hAnsi="Times New Roman" w:cs="David"/>
          <w:sz w:val="24"/>
          <w:szCs w:val="24"/>
          <w:rtl/>
        </w:rPr>
        <w:t>מדינה רב-לאומית – מעמד שווה למספר עמים במסגרת המדינה. (דוגמא: שוויץ)</w:t>
      </w:r>
    </w:p>
    <w:p w:rsidR="00814F5C" w:rsidRPr="00814F5C" w:rsidRDefault="00814F5C" w:rsidP="00814F5C">
      <w:pPr>
        <w:spacing w:line="240" w:lineRule="auto"/>
        <w:rPr>
          <w:rFonts w:ascii="Times New Roman" w:hAnsi="Times New Roman" w:cs="David"/>
          <w:sz w:val="24"/>
          <w:szCs w:val="24"/>
          <w:rtl/>
        </w:rPr>
      </w:pPr>
    </w:p>
    <w:p w:rsidR="00814F5C" w:rsidRPr="00814F5C" w:rsidRDefault="00814F5C" w:rsidP="00814F5C">
      <w:pPr>
        <w:spacing w:line="240" w:lineRule="auto"/>
        <w:jc w:val="center"/>
        <w:rPr>
          <w:rFonts w:ascii="Times New Roman" w:hAnsi="Times New Roman" w:cs="David"/>
          <w:b/>
          <w:bCs/>
          <w:sz w:val="24"/>
          <w:szCs w:val="24"/>
          <w:u w:val="single"/>
          <w:rtl/>
        </w:rPr>
      </w:pPr>
      <w:r w:rsidRPr="00814F5C">
        <w:rPr>
          <w:rFonts w:ascii="Times New Roman" w:hAnsi="Times New Roman" w:cs="David"/>
          <w:b/>
          <w:bCs/>
          <w:sz w:val="24"/>
          <w:szCs w:val="24"/>
          <w:u w:val="single"/>
          <w:rtl/>
        </w:rPr>
        <w:t>מאפייניה של מדינת ישראל כמדינה יהודית</w:t>
      </w:r>
    </w:p>
    <w:p w:rsidR="00814F5C" w:rsidRPr="00814F5C" w:rsidRDefault="00814F5C" w:rsidP="00814F5C">
      <w:pPr>
        <w:spacing w:line="240" w:lineRule="auto"/>
        <w:ind w:left="281"/>
        <w:rPr>
          <w:rFonts w:ascii="Times New Roman" w:hAnsi="Times New Roman" w:cs="David"/>
          <w:b/>
          <w:bCs/>
          <w:sz w:val="24"/>
          <w:szCs w:val="24"/>
          <w:u w:val="single"/>
          <w:rtl/>
        </w:rPr>
      </w:pPr>
      <w:r w:rsidRPr="00814F5C">
        <w:rPr>
          <w:rFonts w:ascii="Times New Roman" w:hAnsi="Times New Roman" w:cs="David"/>
          <w:b/>
          <w:bCs/>
          <w:sz w:val="24"/>
          <w:szCs w:val="24"/>
          <w:u w:val="single"/>
          <w:rtl/>
        </w:rPr>
        <w:t xml:space="preserve">סמלי המדינה: ביטוי למדינה יהודית </w:t>
      </w:r>
    </w:p>
    <w:p w:rsidR="00814F5C" w:rsidRPr="00814F5C" w:rsidRDefault="00814F5C" w:rsidP="00814F5C">
      <w:pPr>
        <w:tabs>
          <w:tab w:val="left" w:pos="84"/>
        </w:tabs>
        <w:spacing w:line="360" w:lineRule="auto"/>
        <w:rPr>
          <w:rFonts w:ascii="Times New Roman" w:hAnsi="Times New Roman" w:cs="David"/>
          <w:sz w:val="24"/>
          <w:szCs w:val="24"/>
          <w:rtl/>
        </w:rPr>
      </w:pPr>
      <w:r w:rsidRPr="00814F5C">
        <w:rPr>
          <w:rFonts w:ascii="Times New Roman" w:hAnsi="Times New Roman" w:cs="David"/>
          <w:b/>
          <w:bCs/>
          <w:sz w:val="24"/>
          <w:szCs w:val="24"/>
          <w:u w:val="single"/>
          <w:rtl/>
        </w:rPr>
        <w:t>א.  סמלי המדינה</w:t>
      </w:r>
      <w:r w:rsidRPr="00814F5C">
        <w:rPr>
          <w:rFonts w:ascii="Times New Roman" w:hAnsi="Times New Roman" w:cs="David"/>
          <w:sz w:val="24"/>
          <w:szCs w:val="24"/>
          <w:rtl/>
        </w:rPr>
        <w:t xml:space="preserve"> –</w:t>
      </w:r>
    </w:p>
    <w:p w:rsidR="00814F5C" w:rsidRPr="00814F5C" w:rsidRDefault="00814F5C" w:rsidP="00814F5C">
      <w:pPr>
        <w:numPr>
          <w:ilvl w:val="0"/>
          <w:numId w:val="2"/>
        </w:numPr>
        <w:tabs>
          <w:tab w:val="left" w:pos="10065"/>
        </w:tabs>
        <w:spacing w:after="0" w:line="360" w:lineRule="auto"/>
        <w:rPr>
          <w:rFonts w:ascii="Times New Roman" w:hAnsi="Times New Roman" w:cs="David"/>
          <w:sz w:val="24"/>
          <w:szCs w:val="24"/>
          <w:rtl/>
        </w:rPr>
      </w:pPr>
      <w:r w:rsidRPr="00814F5C">
        <w:rPr>
          <w:rFonts w:ascii="Times New Roman" w:hAnsi="Times New Roman" w:cs="David"/>
          <w:b/>
          <w:bCs/>
          <w:sz w:val="24"/>
          <w:szCs w:val="24"/>
          <w:u w:val="single"/>
          <w:rtl/>
        </w:rPr>
        <w:t>דגל הלאום</w:t>
      </w:r>
      <w:r w:rsidRPr="00814F5C">
        <w:rPr>
          <w:rFonts w:ascii="Times New Roman" w:hAnsi="Times New Roman" w:cs="David"/>
          <w:sz w:val="24"/>
          <w:szCs w:val="24"/>
          <w:rtl/>
        </w:rPr>
        <w:t xml:space="preserve">: תכלת-לבן כצבעי הטלית,במקרא,תאור בגדי הכהן הגדול ביום הכיפורים. הצבע הלבן מסמל קדושה וטוהרה. מגן דוד במרכזו – סמל מסורתי של העם היהודי. </w:t>
      </w:r>
    </w:p>
    <w:p w:rsidR="00814F5C" w:rsidRPr="00814F5C" w:rsidRDefault="00814F5C" w:rsidP="00814F5C">
      <w:pPr>
        <w:numPr>
          <w:ilvl w:val="0"/>
          <w:numId w:val="2"/>
        </w:numPr>
        <w:spacing w:after="0" w:line="360" w:lineRule="auto"/>
        <w:ind w:right="-142"/>
        <w:rPr>
          <w:rFonts w:ascii="Times New Roman" w:hAnsi="Times New Roman" w:cs="David"/>
          <w:sz w:val="24"/>
          <w:szCs w:val="24"/>
        </w:rPr>
      </w:pPr>
      <w:r w:rsidRPr="00814F5C">
        <w:rPr>
          <w:rFonts w:ascii="Times New Roman" w:hAnsi="Times New Roman" w:cs="David"/>
          <w:b/>
          <w:bCs/>
          <w:sz w:val="24"/>
          <w:szCs w:val="24"/>
          <w:rtl/>
        </w:rPr>
        <w:t xml:space="preserve">  </w:t>
      </w:r>
      <w:r w:rsidRPr="00814F5C">
        <w:rPr>
          <w:rFonts w:ascii="Times New Roman" w:hAnsi="Times New Roman" w:cs="David"/>
          <w:b/>
          <w:bCs/>
          <w:sz w:val="24"/>
          <w:szCs w:val="24"/>
          <w:u w:val="single"/>
          <w:rtl/>
        </w:rPr>
        <w:t>ההמנון</w:t>
      </w:r>
      <w:r w:rsidRPr="00814F5C">
        <w:rPr>
          <w:rFonts w:ascii="Times New Roman" w:hAnsi="Times New Roman" w:cs="David"/>
          <w:sz w:val="24"/>
          <w:szCs w:val="24"/>
          <w:rtl/>
        </w:rPr>
        <w:t xml:space="preserve"> - "נפש </w:t>
      </w:r>
      <w:r w:rsidRPr="00814F5C">
        <w:rPr>
          <w:rFonts w:ascii="Times New Roman" w:hAnsi="Times New Roman" w:cs="David"/>
          <w:sz w:val="24"/>
          <w:szCs w:val="24"/>
          <w:u w:val="single"/>
          <w:rtl/>
        </w:rPr>
        <w:t>יהודי</w:t>
      </w:r>
      <w:r w:rsidRPr="00814F5C">
        <w:rPr>
          <w:rFonts w:ascii="Times New Roman" w:hAnsi="Times New Roman" w:cs="David"/>
          <w:sz w:val="24"/>
          <w:szCs w:val="24"/>
          <w:rtl/>
        </w:rPr>
        <w:t xml:space="preserve"> </w:t>
      </w:r>
      <w:proofErr w:type="spellStart"/>
      <w:r w:rsidRPr="00814F5C">
        <w:rPr>
          <w:rFonts w:ascii="Times New Roman" w:hAnsi="Times New Roman" w:cs="David"/>
          <w:sz w:val="24"/>
          <w:szCs w:val="24"/>
          <w:rtl/>
        </w:rPr>
        <w:t>הומיה</w:t>
      </w:r>
      <w:proofErr w:type="spellEnd"/>
      <w:r w:rsidRPr="00814F5C">
        <w:rPr>
          <w:rFonts w:ascii="Times New Roman" w:hAnsi="Times New Roman" w:cs="David"/>
          <w:sz w:val="24"/>
          <w:szCs w:val="24"/>
          <w:rtl/>
        </w:rPr>
        <w:t>..." מילות השיר " התקווה" מבטאים געגועים (כיסופים) לציון ולירושלים,     בירת העם היהודי.</w:t>
      </w:r>
    </w:p>
    <w:p w:rsidR="00814F5C" w:rsidRDefault="00814F5C" w:rsidP="00814F5C">
      <w:pPr>
        <w:numPr>
          <w:ilvl w:val="0"/>
          <w:numId w:val="2"/>
        </w:numPr>
        <w:spacing w:after="0" w:line="360" w:lineRule="auto"/>
        <w:ind w:right="-142"/>
        <w:rPr>
          <w:rFonts w:ascii="Times New Roman" w:hAnsi="Times New Roman" w:cs="David" w:hint="cs"/>
          <w:sz w:val="24"/>
          <w:szCs w:val="24"/>
        </w:rPr>
      </w:pPr>
      <w:r w:rsidRPr="00814F5C">
        <w:rPr>
          <w:rFonts w:ascii="Times New Roman" w:hAnsi="Times New Roman" w:cs="David"/>
          <w:b/>
          <w:bCs/>
          <w:sz w:val="24"/>
          <w:szCs w:val="24"/>
          <w:rtl/>
        </w:rPr>
        <w:t xml:space="preserve">  </w:t>
      </w:r>
      <w:r w:rsidRPr="00814F5C">
        <w:rPr>
          <w:rFonts w:ascii="Times New Roman" w:hAnsi="Times New Roman" w:cs="David"/>
          <w:b/>
          <w:bCs/>
          <w:sz w:val="24"/>
          <w:szCs w:val="24"/>
          <w:u w:val="single"/>
          <w:rtl/>
        </w:rPr>
        <w:t>סמל המדינה</w:t>
      </w:r>
      <w:r w:rsidRPr="00814F5C">
        <w:rPr>
          <w:rFonts w:ascii="Times New Roman" w:hAnsi="Times New Roman" w:cs="David"/>
          <w:sz w:val="24"/>
          <w:szCs w:val="24"/>
          <w:rtl/>
        </w:rPr>
        <w:t xml:space="preserve">: מנורה בת שבעת הקנים מוקפת בענפי זית, מקורה במנורה </w:t>
      </w:r>
      <w:proofErr w:type="spellStart"/>
      <w:r w:rsidRPr="00814F5C">
        <w:rPr>
          <w:rFonts w:ascii="Times New Roman" w:hAnsi="Times New Roman" w:cs="David"/>
          <w:sz w:val="24"/>
          <w:szCs w:val="24"/>
          <w:rtl/>
        </w:rPr>
        <w:t>שהיתה</w:t>
      </w:r>
      <w:proofErr w:type="spellEnd"/>
      <w:r w:rsidRPr="00814F5C">
        <w:rPr>
          <w:rFonts w:ascii="Times New Roman" w:hAnsi="Times New Roman" w:cs="David"/>
          <w:sz w:val="24"/>
          <w:szCs w:val="24"/>
          <w:rtl/>
        </w:rPr>
        <w:t xml:space="preserve"> בבית המקדש /         במשכן של העם היהודי ומסמלת את התקווה והכמיהה לבניית בית המקדש..</w:t>
      </w:r>
    </w:p>
    <w:p w:rsidR="00814F5C" w:rsidRDefault="00814F5C" w:rsidP="00814F5C">
      <w:pPr>
        <w:spacing w:after="0" w:line="360" w:lineRule="auto"/>
        <w:ind w:right="-142"/>
        <w:rPr>
          <w:rFonts w:ascii="Times New Roman" w:hAnsi="Times New Roman" w:cs="David" w:hint="cs"/>
          <w:sz w:val="24"/>
          <w:szCs w:val="24"/>
          <w:rtl/>
        </w:rPr>
      </w:pPr>
    </w:p>
    <w:p w:rsidR="00814F5C" w:rsidRPr="00814F5C" w:rsidRDefault="00814F5C" w:rsidP="00814F5C">
      <w:pPr>
        <w:pStyle w:val="2"/>
        <w:rPr>
          <w:rFonts w:ascii="Times New Roman" w:hAnsi="Times New Roman" w:cs="David"/>
          <w:i w:val="0"/>
          <w:iCs w:val="0"/>
          <w:sz w:val="24"/>
          <w:szCs w:val="24"/>
          <w:u w:val="single"/>
          <w:rtl/>
        </w:rPr>
      </w:pPr>
      <w:r>
        <w:rPr>
          <w:rFonts w:ascii="Times New Roman" w:hAnsi="Times New Roman" w:cs="David" w:hint="cs"/>
          <w:i w:val="0"/>
          <w:iCs w:val="0"/>
          <w:sz w:val="24"/>
          <w:szCs w:val="24"/>
          <w:u w:val="single"/>
          <w:rtl/>
        </w:rPr>
        <w:t>ח</w:t>
      </w:r>
      <w:r w:rsidRPr="00814F5C">
        <w:rPr>
          <w:rFonts w:ascii="Times New Roman" w:hAnsi="Times New Roman" w:cs="David"/>
          <w:i w:val="0"/>
          <w:iCs w:val="0"/>
          <w:sz w:val="24"/>
          <w:szCs w:val="24"/>
          <w:u w:val="single"/>
          <w:rtl/>
        </w:rPr>
        <w:t>קיקה בהיבט לאומי</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 xml:space="preserve">א. </w:t>
      </w:r>
      <w:r w:rsidRPr="00814F5C">
        <w:rPr>
          <w:rFonts w:ascii="Times New Roman" w:hAnsi="Times New Roman" w:cs="David"/>
          <w:b w:val="0"/>
          <w:bCs w:val="0"/>
          <w:i w:val="0"/>
          <w:iCs w:val="0"/>
          <w:sz w:val="24"/>
          <w:szCs w:val="24"/>
          <w:rtl/>
        </w:rPr>
        <w:t xml:space="preserve"> חוק יסוד מקרקעי ישראל –</w:t>
      </w:r>
      <w:r w:rsidRPr="00814F5C">
        <w:rPr>
          <w:rFonts w:ascii="Times New Roman" w:hAnsi="Times New Roman" w:cs="David" w:hint="cs"/>
          <w:b w:val="0"/>
          <w:bCs w:val="0"/>
          <w:i w:val="0"/>
          <w:iCs w:val="0"/>
          <w:sz w:val="24"/>
          <w:szCs w:val="24"/>
          <w:rtl/>
        </w:rPr>
        <w:t>בקרקעות של קק"ל ניתן ליישב רק יהודים</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ב</w:t>
      </w:r>
      <w:r w:rsidRPr="00814F5C">
        <w:rPr>
          <w:rFonts w:ascii="Times New Roman" w:hAnsi="Times New Roman" w:cs="David"/>
          <w:b w:val="0"/>
          <w:bCs w:val="0"/>
          <w:i w:val="0"/>
          <w:iCs w:val="0"/>
          <w:sz w:val="24"/>
          <w:szCs w:val="24"/>
          <w:rtl/>
        </w:rPr>
        <w:t>. חוק מעמד ההסתדרות הציונית העולמית - הסוכנות היהודית לארץ ישראל - (גישות: מדינה העם היהודי;)</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ג</w:t>
      </w:r>
      <w:r w:rsidRPr="00814F5C">
        <w:rPr>
          <w:rFonts w:ascii="Times New Roman" w:hAnsi="Times New Roman" w:cs="David"/>
          <w:b w:val="0"/>
          <w:bCs w:val="0"/>
          <w:i w:val="0"/>
          <w:iCs w:val="0"/>
          <w:sz w:val="24"/>
          <w:szCs w:val="24"/>
          <w:rtl/>
        </w:rPr>
        <w:t xml:space="preserve">. חוק </w:t>
      </w:r>
      <w:r w:rsidRPr="00814F5C">
        <w:rPr>
          <w:rFonts w:ascii="Times New Roman" w:hAnsi="Times New Roman" w:cs="David" w:hint="cs"/>
          <w:b w:val="0"/>
          <w:bCs w:val="0"/>
          <w:i w:val="0"/>
          <w:iCs w:val="0"/>
          <w:sz w:val="24"/>
          <w:szCs w:val="24"/>
          <w:rtl/>
        </w:rPr>
        <w:t>השבות- כל יהודי עד הדור ה- 3 זכאי לעלות לארץ ולקבל אזרחות</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ד</w:t>
      </w:r>
      <w:r w:rsidRPr="00814F5C">
        <w:rPr>
          <w:rFonts w:ascii="Times New Roman" w:hAnsi="Times New Roman" w:cs="David"/>
          <w:b w:val="0"/>
          <w:bCs w:val="0"/>
          <w:i w:val="0"/>
          <w:iCs w:val="0"/>
          <w:sz w:val="24"/>
          <w:szCs w:val="24"/>
          <w:rtl/>
        </w:rPr>
        <w:t>. חוק יום הז</w:t>
      </w:r>
      <w:r w:rsidRPr="00814F5C">
        <w:rPr>
          <w:rFonts w:ascii="Times New Roman" w:hAnsi="Times New Roman" w:cs="David" w:hint="cs"/>
          <w:b w:val="0"/>
          <w:bCs w:val="0"/>
          <w:i w:val="0"/>
          <w:iCs w:val="0"/>
          <w:sz w:val="24"/>
          <w:szCs w:val="24"/>
          <w:rtl/>
        </w:rPr>
        <w:t>י</w:t>
      </w:r>
      <w:r w:rsidRPr="00814F5C">
        <w:rPr>
          <w:rFonts w:ascii="Times New Roman" w:hAnsi="Times New Roman" w:cs="David"/>
          <w:b w:val="0"/>
          <w:bCs w:val="0"/>
          <w:i w:val="0"/>
          <w:iCs w:val="0"/>
          <w:sz w:val="24"/>
          <w:szCs w:val="24"/>
          <w:rtl/>
        </w:rPr>
        <w:t>כרון לשואה ולגבורה –</w:t>
      </w:r>
      <w:r w:rsidRPr="00814F5C">
        <w:rPr>
          <w:rFonts w:ascii="Times New Roman" w:hAnsi="Times New Roman" w:cs="David" w:hint="cs"/>
          <w:b w:val="0"/>
          <w:bCs w:val="0"/>
          <w:i w:val="0"/>
          <w:iCs w:val="0"/>
          <w:sz w:val="24"/>
          <w:szCs w:val="24"/>
          <w:rtl/>
        </w:rPr>
        <w:t xml:space="preserve"> מתייחדים עם הנספים בשואה</w:t>
      </w:r>
    </w:p>
    <w:p w:rsidR="00814F5C" w:rsidRPr="00814F5C" w:rsidRDefault="00814F5C" w:rsidP="00814F5C">
      <w:pPr>
        <w:pStyle w:val="2"/>
        <w:rPr>
          <w:rFonts w:ascii="Times New Roman" w:hAnsi="Times New Roman" w:cs="David" w:hint="cs"/>
          <w:b w:val="0"/>
          <w:bCs w:val="0"/>
          <w:i w:val="0"/>
          <w:iCs w:val="0"/>
          <w:sz w:val="24"/>
          <w:szCs w:val="24"/>
          <w:rtl/>
        </w:rPr>
      </w:pPr>
      <w:r w:rsidRPr="00814F5C">
        <w:rPr>
          <w:rFonts w:ascii="Times New Roman" w:hAnsi="Times New Roman" w:cs="David" w:hint="cs"/>
          <w:b w:val="0"/>
          <w:bCs w:val="0"/>
          <w:i w:val="0"/>
          <w:iCs w:val="0"/>
          <w:sz w:val="24"/>
          <w:szCs w:val="24"/>
          <w:rtl/>
        </w:rPr>
        <w:t>ה</w:t>
      </w:r>
      <w:r w:rsidRPr="00814F5C">
        <w:rPr>
          <w:rFonts w:ascii="Times New Roman" w:hAnsi="Times New Roman" w:cs="David"/>
          <w:b w:val="0"/>
          <w:bCs w:val="0"/>
          <w:i w:val="0"/>
          <w:iCs w:val="0"/>
          <w:sz w:val="24"/>
          <w:szCs w:val="24"/>
          <w:rtl/>
        </w:rPr>
        <w:t>. חוק יום הז</w:t>
      </w:r>
      <w:r w:rsidRPr="00814F5C">
        <w:rPr>
          <w:rFonts w:ascii="Times New Roman" w:hAnsi="Times New Roman" w:cs="David" w:hint="cs"/>
          <w:b w:val="0"/>
          <w:bCs w:val="0"/>
          <w:i w:val="0"/>
          <w:iCs w:val="0"/>
          <w:sz w:val="24"/>
          <w:szCs w:val="24"/>
          <w:rtl/>
        </w:rPr>
        <w:t>י</w:t>
      </w:r>
      <w:r w:rsidRPr="00814F5C">
        <w:rPr>
          <w:rFonts w:ascii="Times New Roman" w:hAnsi="Times New Roman" w:cs="David"/>
          <w:b w:val="0"/>
          <w:bCs w:val="0"/>
          <w:i w:val="0"/>
          <w:iCs w:val="0"/>
          <w:sz w:val="24"/>
          <w:szCs w:val="24"/>
          <w:rtl/>
        </w:rPr>
        <w:t>כרון לחללי מערכות ישראל –</w:t>
      </w:r>
      <w:r w:rsidRPr="00814F5C">
        <w:rPr>
          <w:rFonts w:ascii="Times New Roman" w:hAnsi="Times New Roman" w:cs="David" w:hint="cs"/>
          <w:b w:val="0"/>
          <w:bCs w:val="0"/>
          <w:i w:val="0"/>
          <w:iCs w:val="0"/>
          <w:sz w:val="24"/>
          <w:szCs w:val="24"/>
          <w:rtl/>
        </w:rPr>
        <w:t>מתייחדים עם חללי צה"ל ונפגעי פעולות הטרור</w:t>
      </w:r>
    </w:p>
    <w:p w:rsidR="00814F5C" w:rsidRPr="00814F5C" w:rsidRDefault="00814F5C" w:rsidP="00814F5C">
      <w:pPr>
        <w:rPr>
          <w:rFonts w:cs="David" w:hint="cs"/>
          <w:b/>
          <w:bCs/>
          <w:sz w:val="24"/>
          <w:szCs w:val="24"/>
          <w:u w:val="single"/>
        </w:rPr>
      </w:pPr>
      <w:r w:rsidRPr="00814F5C">
        <w:rPr>
          <w:rFonts w:ascii="Times New Roman" w:hAnsi="Times New Roman" w:cs="David"/>
          <w:b/>
          <w:bCs/>
          <w:sz w:val="24"/>
          <w:szCs w:val="24"/>
          <w:u w:val="single"/>
          <w:rtl/>
        </w:rPr>
        <w:t>חוקים אלה משקפים את היותה של מדינת ישראל מדינת העם היהודי, ומטרתם להבטיח שמדינת ישראל תהיה בעלת רוב יהודי. חוקים אלה מחזקים את העובדה שישראל היא מדינת לאום יהודית אתנית.</w:t>
      </w:r>
    </w:p>
    <w:p w:rsidR="00814F5C" w:rsidRPr="00814F5C" w:rsidRDefault="00814F5C" w:rsidP="00814F5C">
      <w:pPr>
        <w:pStyle w:val="2"/>
        <w:rPr>
          <w:rFonts w:ascii="Times New Roman" w:hAnsi="Times New Roman" w:cs="David"/>
          <w:i w:val="0"/>
          <w:iCs w:val="0"/>
          <w:sz w:val="24"/>
          <w:szCs w:val="24"/>
          <w:u w:val="single"/>
          <w:rtl/>
        </w:rPr>
      </w:pPr>
      <w:r w:rsidRPr="00814F5C">
        <w:rPr>
          <w:rFonts w:ascii="Times New Roman" w:hAnsi="Times New Roman" w:cs="David"/>
          <w:i w:val="0"/>
          <w:iCs w:val="0"/>
          <w:sz w:val="24"/>
          <w:szCs w:val="24"/>
          <w:u w:val="single"/>
          <w:rtl/>
        </w:rPr>
        <w:lastRenderedPageBreak/>
        <w:t>חקיקה בהיבט תרבותי</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א</w:t>
      </w:r>
      <w:r w:rsidRPr="00814F5C">
        <w:rPr>
          <w:rFonts w:ascii="Times New Roman" w:hAnsi="Times New Roman" w:cs="David"/>
          <w:b w:val="0"/>
          <w:bCs w:val="0"/>
          <w:i w:val="0"/>
          <w:iCs w:val="0"/>
          <w:sz w:val="24"/>
          <w:szCs w:val="24"/>
          <w:rtl/>
        </w:rPr>
        <w:t xml:space="preserve">. חוק רשות השידור – </w:t>
      </w:r>
      <w:r w:rsidRPr="00814F5C">
        <w:rPr>
          <w:rFonts w:ascii="Times New Roman" w:hAnsi="Times New Roman" w:cs="David" w:hint="cs"/>
          <w:b w:val="0"/>
          <w:bCs w:val="0"/>
          <w:i w:val="0"/>
          <w:iCs w:val="0"/>
          <w:sz w:val="24"/>
          <w:szCs w:val="24"/>
          <w:rtl/>
        </w:rPr>
        <w:t>רשויות השידור חייבים להגיש תוכניות בחגים ושבתות ברוח התרבות והמורשת היהודית.</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ב</w:t>
      </w:r>
      <w:r w:rsidRPr="00814F5C">
        <w:rPr>
          <w:rFonts w:ascii="Times New Roman" w:hAnsi="Times New Roman" w:cs="David"/>
          <w:b w:val="0"/>
          <w:bCs w:val="0"/>
          <w:i w:val="0"/>
          <w:iCs w:val="0"/>
          <w:sz w:val="24"/>
          <w:szCs w:val="24"/>
          <w:rtl/>
        </w:rPr>
        <w:t xml:space="preserve">. חוק יסודות המשפט – </w:t>
      </w:r>
      <w:r w:rsidRPr="00814F5C">
        <w:rPr>
          <w:rFonts w:ascii="Times New Roman" w:hAnsi="Times New Roman" w:cs="David" w:hint="cs"/>
          <w:b w:val="0"/>
          <w:bCs w:val="0"/>
          <w:i w:val="0"/>
          <w:iCs w:val="0"/>
          <w:sz w:val="24"/>
          <w:szCs w:val="24"/>
          <w:rtl/>
        </w:rPr>
        <w:t xml:space="preserve">אם אין חקיקה מפורשת, שופט פונה למשפט </w:t>
      </w:r>
      <w:proofErr w:type="spellStart"/>
      <w:r w:rsidRPr="00814F5C">
        <w:rPr>
          <w:rFonts w:ascii="Times New Roman" w:hAnsi="Times New Roman" w:cs="David" w:hint="cs"/>
          <w:b w:val="0"/>
          <w:bCs w:val="0"/>
          <w:i w:val="0"/>
          <w:iCs w:val="0"/>
          <w:sz w:val="24"/>
          <w:szCs w:val="24"/>
          <w:rtl/>
        </w:rPr>
        <w:t>העיברי</w:t>
      </w:r>
      <w:proofErr w:type="spellEnd"/>
      <w:r w:rsidRPr="00814F5C">
        <w:rPr>
          <w:rFonts w:ascii="Times New Roman" w:hAnsi="Times New Roman" w:cs="David" w:hint="cs"/>
          <w:b w:val="0"/>
          <w:bCs w:val="0"/>
          <w:i w:val="0"/>
          <w:iCs w:val="0"/>
          <w:sz w:val="24"/>
          <w:szCs w:val="24"/>
          <w:rtl/>
        </w:rPr>
        <w:t xml:space="preserve"> כדי לתת פסיקה.</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hint="cs"/>
          <w:b w:val="0"/>
          <w:bCs w:val="0"/>
          <w:i w:val="0"/>
          <w:iCs w:val="0"/>
          <w:sz w:val="24"/>
          <w:szCs w:val="24"/>
          <w:rtl/>
        </w:rPr>
        <w:t>ג</w:t>
      </w:r>
      <w:r w:rsidRPr="00814F5C">
        <w:rPr>
          <w:rFonts w:ascii="Times New Roman" w:hAnsi="Times New Roman" w:cs="David"/>
          <w:b w:val="0"/>
          <w:bCs w:val="0"/>
          <w:i w:val="0"/>
          <w:iCs w:val="0"/>
          <w:sz w:val="24"/>
          <w:szCs w:val="24"/>
          <w:rtl/>
        </w:rPr>
        <w:t xml:space="preserve">. חוק חינוך ממלכתי – </w:t>
      </w:r>
      <w:r w:rsidRPr="00814F5C">
        <w:rPr>
          <w:rFonts w:ascii="Times New Roman" w:hAnsi="Times New Roman" w:cs="David" w:hint="cs"/>
          <w:b w:val="0"/>
          <w:bCs w:val="0"/>
          <w:i w:val="0"/>
          <w:iCs w:val="0"/>
          <w:sz w:val="24"/>
          <w:szCs w:val="24"/>
          <w:rtl/>
        </w:rPr>
        <w:t>תפקידו של החינוך הממלכתי להשריש תרבות יהודית בקרב התלמידים.</w:t>
      </w:r>
    </w:p>
    <w:p w:rsidR="00814F5C" w:rsidRPr="00814F5C" w:rsidRDefault="00814F5C" w:rsidP="00814F5C">
      <w:pPr>
        <w:rPr>
          <w:rFonts w:ascii="Times New Roman" w:hAnsi="Times New Roman" w:cs="David"/>
          <w:b/>
          <w:bCs/>
          <w:sz w:val="24"/>
          <w:szCs w:val="24"/>
          <w:u w:val="single"/>
          <w:rtl/>
        </w:rPr>
      </w:pPr>
      <w:r w:rsidRPr="00814F5C">
        <w:rPr>
          <w:rFonts w:ascii="Times New Roman" w:hAnsi="Times New Roman" w:cs="David"/>
          <w:b/>
          <w:bCs/>
          <w:sz w:val="24"/>
          <w:szCs w:val="24"/>
          <w:u w:val="single"/>
          <w:rtl/>
        </w:rPr>
        <w:t>חוקים אלה מבטאים את המורשת וההיסטוריה של העם היהודי ומטרתם היא להקנות צביון תרבותי לאזרחי המדינה. חוקים אלה מתבססים על עקרונות מהמקורות היהודיים העתיקים והחדשים, ועם המורשת לאורך רצף ההיסטוריה היהודית עד ימינו.</w:t>
      </w:r>
    </w:p>
    <w:p w:rsidR="00814F5C" w:rsidRPr="00814F5C" w:rsidRDefault="00814F5C" w:rsidP="00814F5C">
      <w:pPr>
        <w:pStyle w:val="2"/>
        <w:rPr>
          <w:rFonts w:ascii="Times New Roman" w:hAnsi="Times New Roman" w:cs="David"/>
          <w:i w:val="0"/>
          <w:iCs w:val="0"/>
          <w:sz w:val="24"/>
          <w:szCs w:val="24"/>
          <w:rtl/>
        </w:rPr>
      </w:pPr>
      <w:r w:rsidRPr="00814F5C">
        <w:rPr>
          <w:rFonts w:ascii="Times New Roman" w:hAnsi="Times New Roman" w:cs="David"/>
          <w:i w:val="0"/>
          <w:iCs w:val="0"/>
          <w:sz w:val="24"/>
          <w:szCs w:val="24"/>
          <w:rtl/>
        </w:rPr>
        <w:t>חקיקה בהיבט דתי:</w:t>
      </w:r>
    </w:p>
    <w:p w:rsidR="00814F5C" w:rsidRPr="00814F5C" w:rsidRDefault="00814F5C" w:rsidP="00814F5C">
      <w:pPr>
        <w:pStyle w:val="2"/>
        <w:rPr>
          <w:rFonts w:ascii="Times New Roman" w:hAnsi="Times New Roman" w:cs="David"/>
          <w:b w:val="0"/>
          <w:bCs w:val="0"/>
          <w:i w:val="0"/>
          <w:iCs w:val="0"/>
          <w:sz w:val="24"/>
          <w:szCs w:val="24"/>
          <w:rtl/>
        </w:rPr>
      </w:pPr>
      <w:r w:rsidRPr="00814F5C">
        <w:rPr>
          <w:rFonts w:ascii="Times New Roman" w:hAnsi="Times New Roman" w:cs="David"/>
          <w:b w:val="0"/>
          <w:bCs w:val="0"/>
          <w:i w:val="0"/>
          <w:iCs w:val="0"/>
          <w:sz w:val="24"/>
          <w:szCs w:val="24"/>
          <w:rtl/>
        </w:rPr>
        <w:t>א. חוק בתי הדין הרבנים נישואין וג</w:t>
      </w:r>
      <w:r w:rsidRPr="00814F5C">
        <w:rPr>
          <w:rFonts w:ascii="Times New Roman" w:hAnsi="Times New Roman" w:cs="David" w:hint="cs"/>
          <w:b w:val="0"/>
          <w:bCs w:val="0"/>
          <w:i w:val="0"/>
          <w:iCs w:val="0"/>
          <w:sz w:val="24"/>
          <w:szCs w:val="24"/>
          <w:rtl/>
        </w:rPr>
        <w:t>י</w:t>
      </w:r>
      <w:r w:rsidRPr="00814F5C">
        <w:rPr>
          <w:rFonts w:ascii="Times New Roman" w:hAnsi="Times New Roman" w:cs="David"/>
          <w:b w:val="0"/>
          <w:bCs w:val="0"/>
          <w:i w:val="0"/>
          <w:iCs w:val="0"/>
          <w:sz w:val="24"/>
          <w:szCs w:val="24"/>
          <w:rtl/>
        </w:rPr>
        <w:t xml:space="preserve">רושין – </w:t>
      </w:r>
      <w:r w:rsidRPr="00814F5C">
        <w:rPr>
          <w:rFonts w:ascii="Times New Roman" w:hAnsi="Times New Roman" w:cs="David" w:hint="cs"/>
          <w:b w:val="0"/>
          <w:bCs w:val="0"/>
          <w:i w:val="0"/>
          <w:iCs w:val="0"/>
          <w:sz w:val="24"/>
          <w:szCs w:val="24"/>
          <w:rtl/>
        </w:rPr>
        <w:t>נישואין וגירושין נמצאים בסמכותם של בתי הדין הרבניים בלבד.</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b w:val="0"/>
          <w:bCs w:val="0"/>
          <w:i w:val="0"/>
          <w:iCs w:val="0"/>
          <w:sz w:val="24"/>
          <w:szCs w:val="24"/>
          <w:rtl/>
        </w:rPr>
        <w:t xml:space="preserve">ב. חוק איסור גידול חזיר – </w:t>
      </w:r>
      <w:r w:rsidRPr="00814F5C">
        <w:rPr>
          <w:rFonts w:ascii="Times New Roman" w:hAnsi="Times New Roman" w:cs="David" w:hint="cs"/>
          <w:b w:val="0"/>
          <w:bCs w:val="0"/>
          <w:i w:val="0"/>
          <w:iCs w:val="0"/>
          <w:sz w:val="24"/>
          <w:szCs w:val="24"/>
          <w:rtl/>
        </w:rPr>
        <w:t xml:space="preserve">אסור לגדל חזיר על אדמת קודש. חזיר חיה לא כשרה לפי ההלכה היהודית. </w:t>
      </w:r>
    </w:p>
    <w:p w:rsidR="00814F5C" w:rsidRPr="00814F5C" w:rsidRDefault="00814F5C" w:rsidP="00814F5C">
      <w:pPr>
        <w:pStyle w:val="2"/>
        <w:rPr>
          <w:rFonts w:ascii="Times New Roman" w:hAnsi="Times New Roman" w:cs="David"/>
          <w:b w:val="0"/>
          <w:bCs w:val="0"/>
          <w:i w:val="0"/>
          <w:iCs w:val="0"/>
          <w:sz w:val="24"/>
          <w:szCs w:val="24"/>
        </w:rPr>
      </w:pPr>
      <w:r w:rsidRPr="00814F5C">
        <w:rPr>
          <w:rFonts w:ascii="Times New Roman" w:hAnsi="Times New Roman" w:cs="David"/>
          <w:b w:val="0"/>
          <w:bCs w:val="0"/>
          <w:i w:val="0"/>
          <w:iCs w:val="0"/>
          <w:sz w:val="24"/>
          <w:szCs w:val="24"/>
          <w:rtl/>
        </w:rPr>
        <w:t xml:space="preserve">ג. חוק חג המצות (איסור חמץ) – </w:t>
      </w:r>
      <w:r w:rsidRPr="00814F5C">
        <w:rPr>
          <w:rFonts w:ascii="Times New Roman" w:hAnsi="Times New Roman" w:cs="David" w:hint="cs"/>
          <w:b w:val="0"/>
          <w:bCs w:val="0"/>
          <w:i w:val="0"/>
          <w:iCs w:val="0"/>
          <w:sz w:val="24"/>
          <w:szCs w:val="24"/>
          <w:rtl/>
        </w:rPr>
        <w:t>לא מציגים ומוכרים חמץ ביישובים יהודיים.</w:t>
      </w:r>
    </w:p>
    <w:p w:rsidR="00814F5C" w:rsidRPr="00814F5C" w:rsidRDefault="00814F5C" w:rsidP="00814F5C">
      <w:pPr>
        <w:rPr>
          <w:rFonts w:ascii="Times New Roman" w:hAnsi="Times New Roman" w:cs="David"/>
          <w:b/>
          <w:bCs/>
          <w:sz w:val="24"/>
          <w:szCs w:val="24"/>
          <w:u w:val="single"/>
          <w:rtl/>
        </w:rPr>
      </w:pPr>
      <w:r w:rsidRPr="00814F5C">
        <w:rPr>
          <w:rFonts w:ascii="Times New Roman" w:hAnsi="Times New Roman" w:cs="David"/>
          <w:b/>
          <w:bCs/>
          <w:sz w:val="24"/>
          <w:szCs w:val="24"/>
          <w:u w:val="single"/>
          <w:rtl/>
        </w:rPr>
        <w:t xml:space="preserve">חוקים אלה מתבססים על ההלכה היהודית ועל התנ"ך,ומדגישים את הקשר של העם היהודי לדת ולמסורת. למרות היותם חוקים דתיים הם מחייבים את כל </w:t>
      </w:r>
      <w:proofErr w:type="spellStart"/>
      <w:r w:rsidRPr="00814F5C">
        <w:rPr>
          <w:rFonts w:ascii="Times New Roman" w:hAnsi="Times New Roman" w:cs="David"/>
          <w:b/>
          <w:bCs/>
          <w:sz w:val="24"/>
          <w:szCs w:val="24"/>
          <w:u w:val="single"/>
          <w:rtl/>
        </w:rPr>
        <w:t>האוכלוסיה</w:t>
      </w:r>
      <w:proofErr w:type="spellEnd"/>
      <w:r w:rsidRPr="00814F5C">
        <w:rPr>
          <w:rFonts w:ascii="Times New Roman" w:hAnsi="Times New Roman" w:cs="David"/>
          <w:b/>
          <w:bCs/>
          <w:sz w:val="24"/>
          <w:szCs w:val="24"/>
          <w:u w:val="single"/>
          <w:rtl/>
        </w:rPr>
        <w:t xml:space="preserve"> היהודית בארץ, (גם את החילונים), דבר שמבטא את העובדה שאין הפרדת דת מהמדינה.</w:t>
      </w:r>
    </w:p>
    <w:p w:rsidR="00814F5C" w:rsidRDefault="00814F5C" w:rsidP="00814F5C">
      <w:pPr>
        <w:jc w:val="center"/>
        <w:rPr>
          <w:rFonts w:ascii="Times New Roman" w:hAnsi="Times New Roman" w:cs="David" w:hint="cs"/>
          <w:b/>
          <w:bCs/>
          <w:sz w:val="24"/>
          <w:szCs w:val="24"/>
          <w:rtl/>
        </w:rPr>
      </w:pPr>
    </w:p>
    <w:p w:rsidR="00814F5C" w:rsidRPr="00814F5C" w:rsidRDefault="00814F5C" w:rsidP="00814F5C">
      <w:pPr>
        <w:jc w:val="center"/>
        <w:rPr>
          <w:rFonts w:ascii="Times New Roman" w:hAnsi="Times New Roman" w:cs="David" w:hint="cs"/>
          <w:b/>
          <w:bCs/>
          <w:sz w:val="24"/>
          <w:szCs w:val="24"/>
          <w:u w:val="single"/>
          <w:rtl/>
        </w:rPr>
      </w:pPr>
      <w:r w:rsidRPr="00814F5C">
        <w:rPr>
          <w:rFonts w:ascii="Times New Roman" w:hAnsi="Times New Roman" w:cs="David" w:hint="cs"/>
          <w:b/>
          <w:bCs/>
          <w:sz w:val="24"/>
          <w:szCs w:val="24"/>
          <w:u w:val="single"/>
          <w:rtl/>
        </w:rPr>
        <w:t>מוסדות</w:t>
      </w:r>
    </w:p>
    <w:p w:rsidR="00814F5C" w:rsidRPr="00814F5C" w:rsidRDefault="00814F5C" w:rsidP="00814F5C">
      <w:pPr>
        <w:pStyle w:val="3"/>
        <w:rPr>
          <w:u w:val="single"/>
        </w:rPr>
      </w:pPr>
      <w:r w:rsidRPr="00814F5C">
        <w:rPr>
          <w:rStyle w:val="mw-headline"/>
          <w:rFonts w:hint="cs"/>
          <w:u w:val="single"/>
          <w:rtl/>
        </w:rPr>
        <w:t>מוסדות דתיים</w:t>
      </w:r>
    </w:p>
    <w:p w:rsidR="00814F5C" w:rsidRDefault="00814F5C" w:rsidP="00814F5C">
      <w:pPr>
        <w:numPr>
          <w:ilvl w:val="0"/>
          <w:numId w:val="4"/>
        </w:numPr>
        <w:spacing w:before="100" w:beforeAutospacing="1" w:after="100" w:afterAutospacing="1" w:line="240" w:lineRule="auto"/>
        <w:ind w:left="360" w:right="360"/>
        <w:rPr>
          <w:rFonts w:hint="cs"/>
          <w:rtl/>
        </w:rPr>
      </w:pPr>
      <w:r>
        <w:rPr>
          <w:rFonts w:hint="cs"/>
          <w:b/>
          <w:bCs/>
          <w:rtl/>
        </w:rPr>
        <w:t>הרבנות הראשית</w:t>
      </w:r>
      <w:r>
        <w:rPr>
          <w:rFonts w:hint="cs"/>
          <w:rtl/>
        </w:rPr>
        <w:t xml:space="preserve"> - תפקידם: </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לפסוק בענייני הלכה</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להנפיק תעודות הכשר</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להסמיך רבנים</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לפקח על הכשרות</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למנות דיינים, רבני ערים ורושמי נישואין.</w:t>
      </w:r>
    </w:p>
    <w:p w:rsidR="00814F5C" w:rsidRDefault="00814F5C" w:rsidP="00814F5C">
      <w:pPr>
        <w:numPr>
          <w:ilvl w:val="0"/>
          <w:numId w:val="4"/>
        </w:numPr>
        <w:spacing w:before="100" w:beforeAutospacing="1" w:after="100" w:afterAutospacing="1" w:line="240" w:lineRule="auto"/>
        <w:ind w:left="360" w:right="360"/>
        <w:rPr>
          <w:rFonts w:hint="cs"/>
          <w:rtl/>
        </w:rPr>
      </w:pPr>
      <w:r>
        <w:rPr>
          <w:rFonts w:hint="cs"/>
          <w:b/>
          <w:bCs/>
          <w:rtl/>
        </w:rPr>
        <w:t>בתי דין רבניים</w:t>
      </w:r>
      <w:r>
        <w:rPr>
          <w:rFonts w:hint="cs"/>
          <w:rtl/>
        </w:rPr>
        <w:t xml:space="preserve"> - </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אוטונומיה שיפוטית בענייני "מעמד אישי".</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הסמכות חלה על כל האזרחים היהודים בישראל (עוד מתוקף הסדר מנדטורי).</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סמכותם קבועה בחוק שיפוט בתי דין רבניים ושיפוטם רק בענייני נישואין וגירושין.</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 xml:space="preserve">בענייני המעמד האישי – מזונות, צוואות, אימוץ </w:t>
      </w:r>
      <w:proofErr w:type="spellStart"/>
      <w:r>
        <w:rPr>
          <w:rFonts w:hint="cs"/>
          <w:rtl/>
        </w:rPr>
        <w:t>וכו</w:t>
      </w:r>
      <w:proofErr w:type="spellEnd"/>
      <w:r>
        <w:rPr>
          <w:rFonts w:hint="cs"/>
          <w:rtl/>
        </w:rPr>
        <w:t>' ניתן לפנות לבית המשפט המחוזי (אזרחי).</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הדיינים נבחרים ע"י ועדת מינויים.</w:t>
      </w:r>
    </w:p>
    <w:p w:rsidR="00814F5C" w:rsidRDefault="00814F5C" w:rsidP="00814F5C">
      <w:pPr>
        <w:numPr>
          <w:ilvl w:val="0"/>
          <w:numId w:val="4"/>
        </w:numPr>
        <w:spacing w:before="100" w:beforeAutospacing="1" w:after="100" w:afterAutospacing="1" w:line="240" w:lineRule="auto"/>
        <w:ind w:left="360" w:right="360"/>
        <w:rPr>
          <w:rFonts w:hint="cs"/>
          <w:rtl/>
        </w:rPr>
      </w:pPr>
      <w:r>
        <w:rPr>
          <w:rFonts w:hint="cs"/>
          <w:b/>
          <w:bCs/>
          <w:rtl/>
        </w:rPr>
        <w:t>מועצות דתיות :</w:t>
      </w:r>
      <w:r>
        <w:rPr>
          <w:rFonts w:hint="cs"/>
          <w:rtl/>
        </w:rPr>
        <w:t xml:space="preserve"> </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מתמנות על יד הרשות המקומית.</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תפקידן לספק שירותי דת: פיקוח על הכשרות, רישום נישואין וגירושין, תמיכה בבתי כנסת, מקוואות ומוסדות חינוך דתיים, תשלום לרב המקומי ולעובדי המועצה הדתית.</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אינה עוסקת בפסיקת הלכה, בכך עוסק הרב המקומי הממונה ישירות ע"י מועצת הרבנות הראשית.</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אינן עוסקות בענייני קבורה בכך עוסקת "חברה קדישא". תקציב המועצות הדתיות בא מהממשלה ומהרשות המקומית.</w:t>
      </w:r>
    </w:p>
    <w:p w:rsidR="00814F5C" w:rsidRDefault="00814F5C" w:rsidP="00814F5C">
      <w:pPr>
        <w:numPr>
          <w:ilvl w:val="1"/>
          <w:numId w:val="4"/>
        </w:numPr>
        <w:spacing w:before="100" w:beforeAutospacing="1" w:after="100" w:afterAutospacing="1" w:line="240" w:lineRule="auto"/>
        <w:ind w:left="720" w:right="720"/>
        <w:rPr>
          <w:rFonts w:hint="cs"/>
          <w:rtl/>
        </w:rPr>
      </w:pPr>
      <w:r>
        <w:rPr>
          <w:rFonts w:hint="cs"/>
          <w:rtl/>
        </w:rPr>
        <w:t xml:space="preserve">תקדים בג"צ לאה </w:t>
      </w:r>
      <w:proofErr w:type="spellStart"/>
      <w:r>
        <w:rPr>
          <w:rFonts w:hint="cs"/>
          <w:rtl/>
        </w:rPr>
        <w:t>שקדיאל</w:t>
      </w:r>
      <w:proofErr w:type="spellEnd"/>
      <w:r>
        <w:rPr>
          <w:rFonts w:hint="cs"/>
          <w:rtl/>
        </w:rPr>
        <w:t xml:space="preserve"> (1988) קובע כי גם נשים יכולות להיבחר למועצה הדתית.</w:t>
      </w:r>
    </w:p>
    <w:p w:rsidR="00814F5C" w:rsidRDefault="00814F5C" w:rsidP="00814F5C">
      <w:pPr>
        <w:numPr>
          <w:ilvl w:val="0"/>
          <w:numId w:val="4"/>
        </w:numPr>
        <w:spacing w:before="100" w:beforeAutospacing="1" w:after="100" w:afterAutospacing="1" w:line="240" w:lineRule="auto"/>
        <w:ind w:left="360" w:right="360"/>
        <w:rPr>
          <w:rFonts w:hint="cs"/>
        </w:rPr>
      </w:pPr>
      <w:r>
        <w:rPr>
          <w:rFonts w:hint="cs"/>
          <w:b/>
          <w:bCs/>
          <w:rtl/>
        </w:rPr>
        <w:t>משרד הדתות</w:t>
      </w:r>
      <w:r>
        <w:rPr>
          <w:rFonts w:hint="cs"/>
          <w:rtl/>
        </w:rPr>
        <w:t xml:space="preserve"> - נותן שירותים לבני כל הדתות בישראל, מפקח על רושמי הנישואין והגירושין של היהודים, מקציב כספים לתמיכה במוסדות תורה, יוזם חקיקה בנושאי דת ואחראי לביצוע החוקים, מפקח על הכשרות במוסדות ציבור.</w:t>
      </w:r>
    </w:p>
    <w:p w:rsidR="00814F5C" w:rsidRDefault="00814F5C" w:rsidP="00814F5C">
      <w:pPr>
        <w:spacing w:before="100" w:beforeAutospacing="1" w:after="100" w:afterAutospacing="1" w:line="240" w:lineRule="auto"/>
        <w:ind w:left="360" w:right="360"/>
        <w:rPr>
          <w:rFonts w:hint="cs"/>
          <w:rtl/>
        </w:rPr>
      </w:pPr>
      <w:r>
        <w:rPr>
          <w:rFonts w:hint="cs"/>
          <w:b/>
          <w:bCs/>
          <w:rtl/>
        </w:rPr>
        <w:t>מוסדות לאומיים</w:t>
      </w:r>
    </w:p>
    <w:p w:rsidR="00814F5C" w:rsidRDefault="00814F5C" w:rsidP="00814F5C">
      <w:pPr>
        <w:numPr>
          <w:ilvl w:val="0"/>
          <w:numId w:val="5"/>
        </w:numPr>
        <w:spacing w:before="100" w:beforeAutospacing="1" w:after="100" w:afterAutospacing="1" w:line="240" w:lineRule="auto"/>
        <w:ind w:left="360" w:right="360"/>
        <w:rPr>
          <w:rFonts w:hint="cs"/>
          <w:rtl/>
        </w:rPr>
      </w:pPr>
      <w:r>
        <w:rPr>
          <w:rFonts w:hint="cs"/>
          <w:b/>
          <w:bCs/>
          <w:rtl/>
        </w:rPr>
        <w:t>כנסת</w:t>
      </w:r>
      <w:r>
        <w:rPr>
          <w:rFonts w:hint="cs"/>
          <w:rtl/>
        </w:rPr>
        <w:t xml:space="preserve"> - בית הנבחרים הרשמי של מדינת ישראל. שמה לקוח מ"הכנסת הגדולה", מימי עזרא ונחמיה ועד תקופת אלכסנדר הגדול, בכך שדנו בענייני המדינה והדת, ותיקנו תקנות שונות בחיי היהודים. מספר חברי הכנסת נקבע ל –</w:t>
      </w:r>
      <w:proofErr w:type="spellStart"/>
      <w:r>
        <w:rPr>
          <w:rFonts w:hint="cs"/>
          <w:rtl/>
        </w:rPr>
        <w:t>120</w:t>
      </w:r>
      <w:proofErr w:type="spellEnd"/>
      <w:r>
        <w:rPr>
          <w:rFonts w:hint="cs"/>
          <w:rtl/>
        </w:rPr>
        <w:t xml:space="preserve"> כמספר אנשי הכנסת הגדולה.</w:t>
      </w:r>
    </w:p>
    <w:p w:rsidR="00814F5C" w:rsidRDefault="00814F5C" w:rsidP="00814F5C">
      <w:pPr>
        <w:numPr>
          <w:ilvl w:val="0"/>
          <w:numId w:val="5"/>
        </w:numPr>
        <w:spacing w:before="100" w:beforeAutospacing="1" w:after="100" w:afterAutospacing="1" w:line="240" w:lineRule="auto"/>
        <w:ind w:left="360" w:right="360"/>
        <w:rPr>
          <w:rFonts w:hint="cs"/>
          <w:rtl/>
        </w:rPr>
      </w:pPr>
      <w:r>
        <w:rPr>
          <w:rFonts w:hint="cs"/>
          <w:b/>
          <w:bCs/>
          <w:rtl/>
        </w:rPr>
        <w:t>משרד הקליטה</w:t>
      </w:r>
      <w:r>
        <w:rPr>
          <w:rFonts w:hint="cs"/>
          <w:rtl/>
        </w:rPr>
        <w:t xml:space="preserve"> - משרד בממשלה האחראי על עלייתם של יהודים וקליטתם בארץ היעד – ישראל – מדינת העם היהודי. אחראי על העולים בתחומים: תעסוקה, מגורים, רווחה ובריאות, בתיאום עם שאר המשרדים.</w:t>
      </w:r>
    </w:p>
    <w:p w:rsidR="00814F5C" w:rsidRDefault="00814F5C" w:rsidP="00814F5C">
      <w:pPr>
        <w:numPr>
          <w:ilvl w:val="0"/>
          <w:numId w:val="5"/>
        </w:numPr>
        <w:spacing w:before="100" w:beforeAutospacing="1" w:after="100" w:afterAutospacing="1" w:line="240" w:lineRule="auto"/>
        <w:ind w:left="360" w:right="360"/>
        <w:rPr>
          <w:rFonts w:hint="cs"/>
          <w:rtl/>
        </w:rPr>
      </w:pPr>
      <w:r>
        <w:rPr>
          <w:rFonts w:hint="cs"/>
          <w:b/>
          <w:bCs/>
          <w:rtl/>
        </w:rPr>
        <w:lastRenderedPageBreak/>
        <w:t>הסוכנות היהודית</w:t>
      </w:r>
      <w:r>
        <w:rPr>
          <w:rFonts w:hint="cs"/>
          <w:rtl/>
        </w:rPr>
        <w:t xml:space="preserve"> - הנציגות הרשמית של יהדות העולם בארץ ישראל. הוקמה ב- 1929, עפ"י המנדט על ארץ ישראל, שנמסר לבריטניה לשמש כגוף מייעץ </w:t>
      </w:r>
      <w:proofErr w:type="spellStart"/>
      <w:r>
        <w:rPr>
          <w:rFonts w:hint="cs"/>
          <w:rtl/>
        </w:rPr>
        <w:t>הכל</w:t>
      </w:r>
      <w:proofErr w:type="spellEnd"/>
      <w:r>
        <w:rPr>
          <w:rFonts w:hint="cs"/>
          <w:rtl/>
        </w:rPr>
        <w:t xml:space="preserve"> הנוגע להקמת "הבית הלאומי היהודי בארץ ישראל". עם קום המדינה נתמזגה הסוכנות היהודית, בהנהלת ההסתדרות הציונית העולמית, והיא עוסקת בגיוס עזרת יהדות העולם לבניין מדינת ישראל ולביסוסה, וכן בפעילות חינוך והסברה בתפוצות.</w:t>
      </w:r>
    </w:p>
    <w:p w:rsidR="00814F5C" w:rsidRDefault="00814F5C" w:rsidP="00814F5C">
      <w:pPr>
        <w:numPr>
          <w:ilvl w:val="0"/>
          <w:numId w:val="5"/>
        </w:numPr>
        <w:spacing w:before="100" w:beforeAutospacing="1" w:after="100" w:afterAutospacing="1" w:line="240" w:lineRule="auto"/>
        <w:ind w:left="360" w:right="360"/>
        <w:rPr>
          <w:rFonts w:hint="cs"/>
          <w:rtl/>
        </w:rPr>
      </w:pPr>
      <w:r>
        <w:rPr>
          <w:rFonts w:hint="cs"/>
          <w:b/>
          <w:bCs/>
          <w:rtl/>
        </w:rPr>
        <w:t>קק"ל - קרן קיימת לישראל</w:t>
      </w:r>
      <w:r>
        <w:rPr>
          <w:rFonts w:hint="cs"/>
          <w:rtl/>
        </w:rPr>
        <w:t xml:space="preserve"> - נוסדה ב- 1901 ע"י ההסתדרות הציונית העולמית. משמשת קופה לאומית לגאולת האדמה בארץ ישראל ולהכשרה להתיישבות יהודית. אדמות קק"ל מיועדות ליהודים בלבד.</w:t>
      </w:r>
    </w:p>
    <w:p w:rsidR="00814F5C" w:rsidRDefault="00814F5C" w:rsidP="00814F5C">
      <w:pPr>
        <w:jc w:val="center"/>
        <w:rPr>
          <w:rFonts w:ascii="Times New Roman" w:hAnsi="Times New Roman" w:cs="David" w:hint="cs"/>
          <w:b/>
          <w:bCs/>
          <w:sz w:val="24"/>
          <w:szCs w:val="24"/>
          <w:rtl/>
        </w:rPr>
      </w:pPr>
    </w:p>
    <w:p w:rsidR="00814F5C" w:rsidRPr="00814F5C" w:rsidRDefault="00814F5C" w:rsidP="00814F5C">
      <w:pPr>
        <w:jc w:val="center"/>
        <w:rPr>
          <w:rFonts w:ascii="Times New Roman" w:hAnsi="Times New Roman" w:cs="David"/>
          <w:b/>
          <w:bCs/>
          <w:sz w:val="24"/>
          <w:szCs w:val="24"/>
          <w:rtl/>
        </w:rPr>
      </w:pPr>
      <w:r w:rsidRPr="00814F5C">
        <w:rPr>
          <w:rFonts w:ascii="Times New Roman" w:hAnsi="Times New Roman" w:cs="David"/>
          <w:b/>
          <w:bCs/>
          <w:sz w:val="24"/>
          <w:szCs w:val="24"/>
          <w:rtl/>
        </w:rPr>
        <w:t>גישות למדינה יהודית</w:t>
      </w:r>
      <w:r w:rsidRPr="00814F5C">
        <w:rPr>
          <w:rFonts w:ascii="Times New Roman" w:hAnsi="Times New Roman" w:cs="David" w:hint="cs"/>
          <w:b/>
          <w:bCs/>
          <w:sz w:val="24"/>
          <w:szCs w:val="24"/>
          <w:rtl/>
        </w:rPr>
        <w:t>(מופיעות רק בחלק ג')</w:t>
      </w:r>
    </w:p>
    <w:p w:rsidR="00814F5C" w:rsidRPr="00814F5C" w:rsidRDefault="00814F5C" w:rsidP="00814F5C">
      <w:pPr>
        <w:spacing w:line="360" w:lineRule="auto"/>
        <w:ind w:left="720"/>
        <w:rPr>
          <w:rFonts w:ascii="Times New Roman" w:hAnsi="Times New Roman" w:cs="David"/>
          <w:sz w:val="24"/>
          <w:szCs w:val="24"/>
          <w:rtl/>
        </w:rPr>
      </w:pPr>
      <w:r w:rsidRPr="00814F5C">
        <w:rPr>
          <w:rFonts w:ascii="Times New Roman" w:hAnsi="Times New Roman" w:cs="David"/>
          <w:sz w:val="24"/>
          <w:szCs w:val="24"/>
          <w:rtl/>
        </w:rPr>
        <w:t xml:space="preserve">סימנים שיעזרו בזיהוי הגישות: </w:t>
      </w:r>
    </w:p>
    <w:p w:rsidR="00814F5C" w:rsidRPr="00814F5C" w:rsidRDefault="00814F5C" w:rsidP="00814F5C">
      <w:pPr>
        <w:numPr>
          <w:ilvl w:val="0"/>
          <w:numId w:val="1"/>
        </w:numPr>
        <w:spacing w:line="240" w:lineRule="auto"/>
        <w:rPr>
          <w:rFonts w:ascii="Times New Roman" w:hAnsi="Times New Roman" w:cs="David"/>
          <w:sz w:val="24"/>
          <w:szCs w:val="24"/>
          <w:rtl/>
        </w:rPr>
      </w:pPr>
      <w:r w:rsidRPr="00814F5C">
        <w:rPr>
          <w:rFonts w:ascii="Times New Roman" w:hAnsi="Times New Roman" w:cs="David"/>
          <w:sz w:val="24"/>
          <w:szCs w:val="24"/>
          <w:rtl/>
        </w:rPr>
        <w:t>מדינת התורה – סמכות אלוהית בלעדית, שלילת חילוניות ודמוקרטיה, כהני דת שולטים.</w:t>
      </w:r>
    </w:p>
    <w:p w:rsidR="00814F5C" w:rsidRPr="00814F5C" w:rsidRDefault="00814F5C" w:rsidP="00814F5C">
      <w:pPr>
        <w:numPr>
          <w:ilvl w:val="0"/>
          <w:numId w:val="1"/>
        </w:numPr>
        <w:spacing w:line="240" w:lineRule="auto"/>
        <w:rPr>
          <w:rFonts w:ascii="Times New Roman" w:hAnsi="Times New Roman" w:cs="David"/>
          <w:sz w:val="24"/>
          <w:szCs w:val="24"/>
          <w:rtl/>
        </w:rPr>
      </w:pPr>
      <w:r w:rsidRPr="00814F5C">
        <w:rPr>
          <w:rFonts w:ascii="Times New Roman" w:hAnsi="Times New Roman" w:cs="David"/>
          <w:sz w:val="24"/>
          <w:szCs w:val="24"/>
          <w:rtl/>
        </w:rPr>
        <w:t>מדינה דתית לאומית – אופי דתי לחיים ציבוריים, מצוות בציבור לצד קבלת החילוניות בחיים הפרטיים.</w:t>
      </w:r>
    </w:p>
    <w:p w:rsidR="00814F5C" w:rsidRPr="00814F5C" w:rsidRDefault="00814F5C" w:rsidP="00814F5C">
      <w:pPr>
        <w:numPr>
          <w:ilvl w:val="0"/>
          <w:numId w:val="1"/>
        </w:numPr>
        <w:spacing w:line="240" w:lineRule="auto"/>
        <w:rPr>
          <w:rFonts w:ascii="Times New Roman" w:hAnsi="Times New Roman" w:cs="David"/>
          <w:sz w:val="24"/>
          <w:szCs w:val="24"/>
          <w:rtl/>
        </w:rPr>
      </w:pPr>
      <w:r w:rsidRPr="00814F5C">
        <w:rPr>
          <w:rFonts w:ascii="Times New Roman" w:hAnsi="Times New Roman" w:cs="David"/>
          <w:sz w:val="24"/>
          <w:szCs w:val="24"/>
          <w:rtl/>
        </w:rPr>
        <w:t>מדינת לאום יהודית תרבותית – שילוב של מאפיינים דתיים ומסורתיים תרבותיים, דגש על סמלים, חגים, שפה, מורשת.</w:t>
      </w:r>
    </w:p>
    <w:p w:rsidR="00814F5C" w:rsidRPr="00814F5C" w:rsidRDefault="00814F5C" w:rsidP="00814F5C">
      <w:pPr>
        <w:numPr>
          <w:ilvl w:val="0"/>
          <w:numId w:val="1"/>
        </w:numPr>
        <w:spacing w:line="240" w:lineRule="auto"/>
        <w:rPr>
          <w:rFonts w:ascii="Times New Roman" w:hAnsi="Times New Roman" w:cs="David"/>
          <w:sz w:val="24"/>
          <w:szCs w:val="24"/>
          <w:rtl/>
        </w:rPr>
      </w:pPr>
      <w:r w:rsidRPr="00814F5C">
        <w:rPr>
          <w:rFonts w:ascii="Times New Roman" w:hAnsi="Times New Roman" w:cs="David"/>
          <w:sz w:val="24"/>
          <w:szCs w:val="24"/>
          <w:rtl/>
        </w:rPr>
        <w:t>מדינת העם היהודי – טיפוח הקשר עם התפוצות, קליטת עליה, קיבוץ גלויות.</w:t>
      </w:r>
    </w:p>
    <w:p w:rsidR="00814F5C" w:rsidRPr="00814F5C" w:rsidRDefault="00814F5C" w:rsidP="00814F5C">
      <w:pPr>
        <w:numPr>
          <w:ilvl w:val="0"/>
          <w:numId w:val="1"/>
        </w:numPr>
        <w:spacing w:line="240" w:lineRule="auto"/>
        <w:rPr>
          <w:rFonts w:ascii="Times New Roman" w:hAnsi="Times New Roman" w:cs="David"/>
          <w:sz w:val="24"/>
          <w:szCs w:val="24"/>
        </w:rPr>
      </w:pPr>
      <w:r w:rsidRPr="00814F5C">
        <w:rPr>
          <w:rFonts w:ascii="Times New Roman" w:hAnsi="Times New Roman" w:cs="David"/>
          <w:sz w:val="24"/>
          <w:szCs w:val="24"/>
          <w:rtl/>
        </w:rPr>
        <w:t>מדינת היהודים – אזכור רוב יהודי לצד דמוקרטיה, חילוניות, שוויון זכויות מלא לכל האזרחים,</w:t>
      </w:r>
    </w:p>
    <w:p w:rsidR="00814F5C" w:rsidRPr="00814F5C" w:rsidRDefault="00814F5C" w:rsidP="00814F5C">
      <w:pPr>
        <w:spacing w:line="240" w:lineRule="auto"/>
        <w:ind w:left="720"/>
        <w:rPr>
          <w:rFonts w:ascii="Times New Roman" w:hAnsi="Times New Roman" w:cs="David"/>
          <w:sz w:val="24"/>
          <w:szCs w:val="24"/>
          <w:rtl/>
        </w:rPr>
      </w:pPr>
      <w:r w:rsidRPr="00814F5C">
        <w:rPr>
          <w:rFonts w:ascii="Times New Roman" w:hAnsi="Times New Roman" w:cs="David"/>
          <w:sz w:val="24"/>
          <w:szCs w:val="24"/>
          <w:rtl/>
        </w:rPr>
        <w:t>הרוב היהודי יחליט על האופי של המדינה</w:t>
      </w:r>
    </w:p>
    <w:p w:rsidR="00814F5C" w:rsidRPr="00814F5C" w:rsidRDefault="00814F5C" w:rsidP="00814F5C">
      <w:pPr>
        <w:numPr>
          <w:ilvl w:val="0"/>
          <w:numId w:val="1"/>
        </w:numPr>
        <w:spacing w:line="240" w:lineRule="auto"/>
        <w:rPr>
          <w:rFonts w:ascii="Times New Roman" w:hAnsi="Times New Roman" w:cs="David"/>
          <w:sz w:val="24"/>
          <w:szCs w:val="24"/>
        </w:rPr>
      </w:pPr>
      <w:r w:rsidRPr="00814F5C">
        <w:rPr>
          <w:rFonts w:ascii="Times New Roman" w:hAnsi="Times New Roman" w:cs="David"/>
          <w:sz w:val="24"/>
          <w:szCs w:val="24"/>
          <w:rtl/>
        </w:rPr>
        <w:t>מדינת כלל אזרחיה – התנגדות לצביון אתני, דגש על שוויון מלא בין האזרחים, ביטול סממנים יהודיים של המדינה.</w:t>
      </w:r>
    </w:p>
    <w:p w:rsidR="00814F5C" w:rsidRPr="00814F5C" w:rsidRDefault="00814F5C">
      <w:pPr>
        <w:rPr>
          <w:rFonts w:cs="David" w:hint="cs"/>
          <w:sz w:val="24"/>
          <w:szCs w:val="24"/>
          <w:rtl/>
        </w:rPr>
      </w:pPr>
    </w:p>
    <w:p w:rsidR="00814F5C" w:rsidRPr="00814F5C" w:rsidRDefault="00814F5C">
      <w:pPr>
        <w:rPr>
          <w:rFonts w:cs="David"/>
          <w:sz w:val="24"/>
          <w:szCs w:val="24"/>
        </w:rPr>
      </w:pPr>
    </w:p>
    <w:sectPr w:rsidR="00814F5C" w:rsidRPr="00814F5C" w:rsidSect="00814F5C">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0000000000000000000"/>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33ED"/>
    <w:multiLevelType w:val="hybridMultilevel"/>
    <w:tmpl w:val="EE46B64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FB8151D"/>
    <w:multiLevelType w:val="multilevel"/>
    <w:tmpl w:val="6EE01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87B61"/>
    <w:multiLevelType w:val="multilevel"/>
    <w:tmpl w:val="2CA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271E6"/>
    <w:multiLevelType w:val="multilevel"/>
    <w:tmpl w:val="8848A9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F4BBF"/>
    <w:multiLevelType w:val="hybridMultilevel"/>
    <w:tmpl w:val="3CA2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4F5C"/>
    <w:rsid w:val="00814F5C"/>
    <w:rsid w:val="00D06C31"/>
    <w:rsid w:val="00E571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5A"/>
    <w:pPr>
      <w:bidi/>
    </w:pPr>
  </w:style>
  <w:style w:type="paragraph" w:styleId="2">
    <w:name w:val="heading 2"/>
    <w:basedOn w:val="a"/>
    <w:next w:val="a"/>
    <w:link w:val="20"/>
    <w:uiPriority w:val="9"/>
    <w:unhideWhenUsed/>
    <w:qFormat/>
    <w:rsid w:val="00814F5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14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14F5C"/>
    <w:rPr>
      <w:rFonts w:ascii="Cambria" w:eastAsia="Times New Roman" w:hAnsi="Cambria" w:cs="Times New Roman"/>
      <w:b/>
      <w:bCs/>
      <w:i/>
      <w:iCs/>
      <w:sz w:val="28"/>
      <w:szCs w:val="28"/>
    </w:rPr>
  </w:style>
  <w:style w:type="character" w:customStyle="1" w:styleId="30">
    <w:name w:val="כותרת 3 תו"/>
    <w:basedOn w:val="a0"/>
    <w:link w:val="3"/>
    <w:uiPriority w:val="9"/>
    <w:semiHidden/>
    <w:rsid w:val="00814F5C"/>
    <w:rPr>
      <w:rFonts w:asciiTheme="majorHAnsi" w:eastAsiaTheme="majorEastAsia" w:hAnsiTheme="majorHAnsi" w:cstheme="majorBidi"/>
      <w:b/>
      <w:bCs/>
      <w:color w:val="4F81BD" w:themeColor="accent1"/>
    </w:rPr>
  </w:style>
  <w:style w:type="character" w:styleId="Hyperlink">
    <w:name w:val="Hyperlink"/>
    <w:basedOn w:val="a0"/>
    <w:uiPriority w:val="99"/>
    <w:semiHidden/>
    <w:unhideWhenUsed/>
    <w:rsid w:val="00814F5C"/>
    <w:rPr>
      <w:color w:val="0000FF"/>
      <w:u w:val="single"/>
    </w:rPr>
  </w:style>
  <w:style w:type="character" w:customStyle="1" w:styleId="mw-headline">
    <w:name w:val="mw-headline"/>
    <w:basedOn w:val="a0"/>
    <w:rsid w:val="00814F5C"/>
  </w:style>
  <w:style w:type="character" w:customStyle="1" w:styleId="editsection">
    <w:name w:val="editsection"/>
    <w:basedOn w:val="a0"/>
    <w:rsid w:val="00814F5C"/>
  </w:style>
</w:styles>
</file>

<file path=word/webSettings.xml><?xml version="1.0" encoding="utf-8"?>
<w:webSettings xmlns:r="http://schemas.openxmlformats.org/officeDocument/2006/relationships" xmlns:w="http://schemas.openxmlformats.org/wordprocessingml/2006/main">
  <w:divs>
    <w:div w:id="486827265">
      <w:bodyDiv w:val="1"/>
      <w:marLeft w:val="0"/>
      <w:marRight w:val="0"/>
      <w:marTop w:val="0"/>
      <w:marBottom w:val="0"/>
      <w:divBdr>
        <w:top w:val="none" w:sz="0" w:space="0" w:color="auto"/>
        <w:left w:val="none" w:sz="0" w:space="0" w:color="auto"/>
        <w:bottom w:val="none" w:sz="0" w:space="0" w:color="auto"/>
        <w:right w:val="none" w:sz="0" w:space="0" w:color="auto"/>
      </w:divBdr>
      <w:divsChild>
        <w:div w:id="400643729">
          <w:marLeft w:val="0"/>
          <w:marRight w:val="0"/>
          <w:marTop w:val="0"/>
          <w:marBottom w:val="0"/>
          <w:divBdr>
            <w:top w:val="none" w:sz="0" w:space="0" w:color="auto"/>
            <w:left w:val="none" w:sz="0" w:space="0" w:color="auto"/>
            <w:bottom w:val="none" w:sz="0" w:space="0" w:color="auto"/>
            <w:right w:val="none" w:sz="0" w:space="0" w:color="auto"/>
          </w:divBdr>
          <w:divsChild>
            <w:div w:id="1436251742">
              <w:marLeft w:val="0"/>
              <w:marRight w:val="0"/>
              <w:marTop w:val="0"/>
              <w:marBottom w:val="0"/>
              <w:divBdr>
                <w:top w:val="none" w:sz="0" w:space="0" w:color="auto"/>
                <w:left w:val="none" w:sz="0" w:space="0" w:color="auto"/>
                <w:bottom w:val="none" w:sz="0" w:space="0" w:color="auto"/>
                <w:right w:val="none" w:sz="0" w:space="0" w:color="auto"/>
              </w:divBdr>
              <w:divsChild>
                <w:div w:id="1510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D64C-EFB4-4733-B0FB-3331BFE3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4657</Characters>
  <Application>Microsoft Office Word</Application>
  <DocSecurity>0</DocSecurity>
  <Lines>38</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2012-11-18T17:13:00Z</dcterms:created>
  <dcterms:modified xsi:type="dcterms:W3CDTF">2012-11-18T17:24:00Z</dcterms:modified>
</cp:coreProperties>
</file>