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F3" w:rsidRPr="00700480" w:rsidRDefault="005957F3" w:rsidP="005957F3">
      <w:pPr>
        <w:pStyle w:val="3"/>
        <w:rPr>
          <w:sz w:val="24"/>
          <w:szCs w:val="24"/>
          <w:rtl/>
        </w:rPr>
      </w:pPr>
      <w:r w:rsidRPr="00700480">
        <w:rPr>
          <w:sz w:val="24"/>
          <w:szCs w:val="24"/>
          <w:rtl/>
        </w:rPr>
        <w:t xml:space="preserve">הרשות המבצעת </w:t>
      </w:r>
      <w:r w:rsidRPr="00700480">
        <w:rPr>
          <w:sz w:val="24"/>
          <w:szCs w:val="24"/>
        </w:rPr>
        <w:t>–</w:t>
      </w:r>
      <w:r w:rsidRPr="00700480">
        <w:rPr>
          <w:sz w:val="24"/>
          <w:szCs w:val="24"/>
          <w:rtl/>
        </w:rPr>
        <w:t xml:space="preserve"> הממשלה</w:t>
      </w:r>
    </w:p>
    <w:p w:rsidR="005957F3" w:rsidRPr="00700480" w:rsidRDefault="005957F3" w:rsidP="005957F3">
      <w:pPr>
        <w:pStyle w:val="a5"/>
        <w:spacing w:before="120" w:after="120" w:line="240" w:lineRule="auto"/>
        <w:jc w:val="center"/>
        <w:rPr>
          <w:rFonts w:ascii="Arial" w:hAnsi="Arial" w:cs="Arial"/>
          <w:b/>
          <w:bCs/>
          <w:color w:val="000000"/>
          <w:sz w:val="24"/>
          <w:u w:val="single"/>
          <w:rtl/>
        </w:rPr>
      </w:pPr>
    </w:p>
    <w:p w:rsidR="005957F3" w:rsidRPr="00700480" w:rsidRDefault="005957F3" w:rsidP="005957F3">
      <w:pPr>
        <w:pStyle w:val="a5"/>
        <w:spacing w:before="120" w:after="120" w:line="240" w:lineRule="auto"/>
        <w:jc w:val="left"/>
        <w:rPr>
          <w:rFonts w:ascii="Arial" w:hAnsi="Arial" w:cs="Arial"/>
          <w:color w:val="000000"/>
          <w:sz w:val="24"/>
          <w:rtl/>
        </w:rPr>
      </w:pPr>
      <w:r w:rsidRPr="00700480">
        <w:rPr>
          <w:rFonts w:ascii="Arial" w:hAnsi="Arial" w:cs="Arial"/>
          <w:b/>
          <w:bCs/>
          <w:color w:val="000000"/>
          <w:sz w:val="24"/>
          <w:u w:val="single"/>
          <w:rtl/>
        </w:rPr>
        <w:t>על-פי חוק יסוד: הממשלה</w:t>
      </w:r>
      <w:r w:rsidRPr="00700480">
        <w:rPr>
          <w:rFonts w:ascii="Arial" w:hAnsi="Arial" w:cs="Arial"/>
          <w:b/>
          <w:bCs/>
          <w:color w:val="000000"/>
          <w:sz w:val="24"/>
          <w:rtl/>
        </w:rPr>
        <w:t xml:space="preserve"> -</w:t>
      </w:r>
      <w:r w:rsidRPr="00700480">
        <w:rPr>
          <w:rFonts w:ascii="Arial" w:hAnsi="Arial" w:cs="Arial"/>
          <w:color w:val="000000"/>
          <w:sz w:val="24"/>
          <w:rtl/>
        </w:rPr>
        <w:t xml:space="preserve"> הממשלה היא הרשות המבצעת של המדינה (סעיף 1) והיא מורכבת מראש הממשלה ומשרים (סעיף 5א'). כרשות מבצעות הממשלה פועלת על-פי הסדרים והחוקים של הרשות המחוקקת. כמו כן, הממשלה פועלת כגוף עצמאי בנושא קביעת מדיניות והחלטת החלטות (כגון: יציאה למלחמה, חתימת הסכם שלום, ביצוע פיחות במטבע המקומי ועוד). </w:t>
      </w:r>
    </w:p>
    <w:p w:rsidR="005957F3" w:rsidRPr="00700480" w:rsidRDefault="005957F3" w:rsidP="005957F3">
      <w:pPr>
        <w:pStyle w:val="a5"/>
        <w:spacing w:line="240" w:lineRule="auto"/>
        <w:jc w:val="left"/>
        <w:rPr>
          <w:rFonts w:ascii="Arial" w:hAnsi="Arial" w:cs="Arial"/>
          <w:b/>
          <w:bCs/>
          <w:color w:val="000000"/>
          <w:sz w:val="24"/>
          <w:rtl/>
        </w:rPr>
      </w:pPr>
      <w:r w:rsidRPr="00700480">
        <w:rPr>
          <w:rFonts w:ascii="Arial" w:hAnsi="Arial" w:cs="Arial"/>
          <w:b/>
          <w:bCs/>
          <w:color w:val="000000"/>
          <w:sz w:val="24"/>
          <w:u w:val="single"/>
          <w:rtl/>
        </w:rPr>
        <w:t>לרשות המבצעת שלושה מרכיבים</w:t>
      </w:r>
      <w:r w:rsidRPr="00700480">
        <w:rPr>
          <w:rFonts w:ascii="Arial" w:hAnsi="Arial" w:cs="Arial"/>
          <w:b/>
          <w:bCs/>
          <w:color w:val="000000"/>
          <w:sz w:val="24"/>
          <w:rtl/>
        </w:rPr>
        <w:t>:</w:t>
      </w:r>
    </w:p>
    <w:p w:rsidR="005957F3" w:rsidRPr="00700480" w:rsidRDefault="005957F3" w:rsidP="005957F3">
      <w:pPr>
        <w:pStyle w:val="a5"/>
        <w:numPr>
          <w:ilvl w:val="0"/>
          <w:numId w:val="1"/>
        </w:numPr>
        <w:spacing w:line="240" w:lineRule="auto"/>
        <w:ind w:right="0"/>
        <w:jc w:val="left"/>
        <w:rPr>
          <w:rFonts w:ascii="Arial" w:hAnsi="Arial" w:cs="Arial"/>
          <w:color w:val="000000"/>
          <w:sz w:val="24"/>
          <w:rtl/>
        </w:rPr>
      </w:pPr>
      <w:r w:rsidRPr="00700480">
        <w:rPr>
          <w:rFonts w:ascii="Arial" w:hAnsi="Arial" w:cs="Arial"/>
          <w:b/>
          <w:bCs/>
          <w:color w:val="000000"/>
          <w:sz w:val="24"/>
          <w:u w:val="single"/>
          <w:rtl/>
        </w:rPr>
        <w:t>הממשלה</w:t>
      </w:r>
      <w:r w:rsidRPr="00700480">
        <w:rPr>
          <w:rFonts w:ascii="Arial" w:hAnsi="Arial" w:cs="Arial"/>
          <w:b/>
          <w:bCs/>
          <w:color w:val="000000"/>
          <w:sz w:val="24"/>
          <w:rtl/>
        </w:rPr>
        <w:t xml:space="preserve"> –</w:t>
      </w:r>
      <w:r w:rsidRPr="00700480">
        <w:rPr>
          <w:rFonts w:ascii="Arial" w:hAnsi="Arial" w:cs="Arial"/>
          <w:color w:val="000000"/>
          <w:sz w:val="24"/>
          <w:rtl/>
        </w:rPr>
        <w:t xml:space="preserve"> </w:t>
      </w:r>
      <w:r w:rsidRPr="00700480">
        <w:rPr>
          <w:rFonts w:ascii="Arial" w:hAnsi="Arial" w:cs="Arial"/>
          <w:color w:val="000000"/>
          <w:sz w:val="24"/>
          <w:u w:val="single"/>
          <w:rtl/>
        </w:rPr>
        <w:t>ראש הממשלה</w:t>
      </w:r>
      <w:r w:rsidRPr="00700480">
        <w:rPr>
          <w:rFonts w:ascii="Arial" w:hAnsi="Arial" w:cs="Arial"/>
          <w:color w:val="000000"/>
          <w:sz w:val="24"/>
          <w:rtl/>
        </w:rPr>
        <w:t xml:space="preserve"> ו</w:t>
      </w:r>
      <w:r w:rsidRPr="00700480">
        <w:rPr>
          <w:rFonts w:ascii="Arial" w:hAnsi="Arial" w:cs="Arial"/>
          <w:color w:val="000000"/>
          <w:sz w:val="24"/>
          <w:u w:val="single"/>
          <w:rtl/>
        </w:rPr>
        <w:t>השרים</w:t>
      </w:r>
      <w:r w:rsidRPr="00700480">
        <w:rPr>
          <w:rFonts w:ascii="Arial" w:hAnsi="Arial" w:cs="Arial"/>
          <w:color w:val="000000"/>
          <w:sz w:val="24"/>
          <w:rtl/>
        </w:rPr>
        <w:t xml:space="preserve"> הפועלים כקולקטיב </w:t>
      </w:r>
      <w:r w:rsidRPr="00700480">
        <w:rPr>
          <w:rFonts w:ascii="Arial" w:hAnsi="Arial" w:cs="Arial"/>
          <w:color w:val="000000"/>
          <w:sz w:val="24"/>
          <w:u w:val="single"/>
          <w:rtl/>
        </w:rPr>
        <w:t>כגוף אחד</w:t>
      </w:r>
      <w:r w:rsidRPr="00700480">
        <w:rPr>
          <w:rFonts w:ascii="Arial" w:hAnsi="Arial" w:cs="Arial"/>
          <w:color w:val="000000"/>
          <w:sz w:val="24"/>
          <w:rtl/>
        </w:rPr>
        <w:t>.</w:t>
      </w:r>
    </w:p>
    <w:p w:rsidR="005957F3" w:rsidRPr="00700480" w:rsidRDefault="005957F3" w:rsidP="005957F3">
      <w:pPr>
        <w:pStyle w:val="a5"/>
        <w:numPr>
          <w:ilvl w:val="0"/>
          <w:numId w:val="1"/>
        </w:numPr>
        <w:spacing w:line="240" w:lineRule="auto"/>
        <w:ind w:right="0"/>
        <w:jc w:val="left"/>
        <w:rPr>
          <w:rFonts w:ascii="Arial" w:hAnsi="Arial" w:cs="Arial"/>
          <w:color w:val="000000"/>
          <w:sz w:val="24"/>
        </w:rPr>
      </w:pPr>
      <w:r w:rsidRPr="00700480">
        <w:rPr>
          <w:rFonts w:ascii="Arial" w:hAnsi="Arial" w:cs="Arial"/>
          <w:b/>
          <w:bCs/>
          <w:color w:val="000000"/>
          <w:sz w:val="24"/>
          <w:u w:val="single"/>
          <w:rtl/>
        </w:rPr>
        <w:t>השרים</w:t>
      </w:r>
      <w:r w:rsidRPr="00700480">
        <w:rPr>
          <w:rFonts w:ascii="Arial" w:hAnsi="Arial" w:cs="Arial"/>
          <w:b/>
          <w:bCs/>
          <w:color w:val="000000"/>
          <w:sz w:val="24"/>
          <w:rtl/>
        </w:rPr>
        <w:t xml:space="preserve"> –</w:t>
      </w:r>
      <w:r w:rsidRPr="00700480">
        <w:rPr>
          <w:rFonts w:ascii="Arial" w:hAnsi="Arial" w:cs="Arial"/>
          <w:color w:val="000000"/>
          <w:sz w:val="24"/>
          <w:rtl/>
        </w:rPr>
        <w:t xml:space="preserve"> שלכל אחד מהם יש </w:t>
      </w:r>
      <w:r w:rsidRPr="00700480">
        <w:rPr>
          <w:rFonts w:ascii="Arial" w:hAnsi="Arial" w:cs="Arial"/>
          <w:color w:val="000000"/>
          <w:sz w:val="24"/>
          <w:u w:val="single"/>
          <w:rtl/>
        </w:rPr>
        <w:t>אוטונומיה בניהול משרדו</w:t>
      </w:r>
      <w:r w:rsidRPr="00700480">
        <w:rPr>
          <w:rFonts w:ascii="Arial" w:hAnsi="Arial" w:cs="Arial"/>
          <w:color w:val="000000"/>
          <w:sz w:val="24"/>
          <w:rtl/>
        </w:rPr>
        <w:t xml:space="preserve"> והוא נושא </w:t>
      </w:r>
      <w:r w:rsidRPr="00700480">
        <w:rPr>
          <w:rFonts w:ascii="Arial" w:hAnsi="Arial" w:cs="Arial"/>
          <w:color w:val="000000"/>
          <w:sz w:val="24"/>
          <w:u w:val="single"/>
          <w:rtl/>
        </w:rPr>
        <w:t>באחריות על משרדו</w:t>
      </w:r>
      <w:r w:rsidRPr="00700480">
        <w:rPr>
          <w:rFonts w:ascii="Arial" w:hAnsi="Arial" w:cs="Arial"/>
          <w:color w:val="000000"/>
          <w:sz w:val="24"/>
          <w:rtl/>
        </w:rPr>
        <w:t>.</w:t>
      </w:r>
    </w:p>
    <w:p w:rsidR="005957F3" w:rsidRPr="00700480" w:rsidRDefault="005957F3" w:rsidP="005957F3">
      <w:pPr>
        <w:pStyle w:val="a5"/>
        <w:numPr>
          <w:ilvl w:val="0"/>
          <w:numId w:val="1"/>
        </w:numPr>
        <w:spacing w:line="240" w:lineRule="auto"/>
        <w:ind w:right="0"/>
        <w:jc w:val="left"/>
        <w:rPr>
          <w:rFonts w:ascii="Arial" w:hAnsi="Arial" w:cs="Arial"/>
          <w:color w:val="000000"/>
          <w:sz w:val="24"/>
        </w:rPr>
      </w:pPr>
      <w:r w:rsidRPr="00700480">
        <w:rPr>
          <w:rFonts w:ascii="Arial" w:hAnsi="Arial" w:cs="Arial"/>
          <w:b/>
          <w:bCs/>
          <w:color w:val="000000"/>
          <w:sz w:val="24"/>
          <w:u w:val="single"/>
          <w:rtl/>
        </w:rPr>
        <w:t>הדרג המינהלי (הפק</w:t>
      </w:r>
      <w:r w:rsidRPr="00700480">
        <w:rPr>
          <w:rFonts w:ascii="Arial" w:hAnsi="Arial" w:cs="Arial" w:hint="cs"/>
          <w:b/>
          <w:bCs/>
          <w:color w:val="000000"/>
          <w:sz w:val="24"/>
          <w:u w:val="single"/>
          <w:rtl/>
        </w:rPr>
        <w:t>י</w:t>
      </w:r>
      <w:r w:rsidRPr="00700480">
        <w:rPr>
          <w:rFonts w:ascii="Arial" w:hAnsi="Arial" w:cs="Arial"/>
          <w:b/>
          <w:bCs/>
          <w:color w:val="000000"/>
          <w:sz w:val="24"/>
          <w:u w:val="single"/>
          <w:rtl/>
        </w:rPr>
        <w:t>דותי)</w:t>
      </w:r>
      <w:r w:rsidRPr="00700480">
        <w:rPr>
          <w:rFonts w:ascii="Arial" w:hAnsi="Arial" w:cs="Arial"/>
          <w:b/>
          <w:bCs/>
          <w:color w:val="000000"/>
          <w:sz w:val="24"/>
          <w:rtl/>
        </w:rPr>
        <w:t xml:space="preserve"> – </w:t>
      </w:r>
      <w:r w:rsidRPr="00700480">
        <w:rPr>
          <w:rFonts w:ascii="Arial" w:hAnsi="Arial" w:cs="Arial"/>
          <w:color w:val="000000"/>
          <w:sz w:val="24"/>
          <w:rtl/>
        </w:rPr>
        <w:t>הפועל במשרדי הממשלה השונים, בחברות ממשלתיות ובכל הגופים הביצועיים השייכים לממשלה ולרשויות המקומיות.</w:t>
      </w:r>
    </w:p>
    <w:p w:rsidR="005957F3" w:rsidRPr="00700480" w:rsidRDefault="005957F3" w:rsidP="005957F3">
      <w:pPr>
        <w:pStyle w:val="a5"/>
        <w:spacing w:line="240" w:lineRule="auto"/>
        <w:ind w:left="720"/>
        <w:jc w:val="left"/>
        <w:rPr>
          <w:rFonts w:ascii="Arial" w:hAnsi="Arial" w:cs="Arial"/>
          <w:color w:val="000000"/>
          <w:sz w:val="24"/>
          <w:rtl/>
        </w:rPr>
      </w:pPr>
      <w:r w:rsidRPr="00700480">
        <w:rPr>
          <w:rFonts w:ascii="Arial" w:hAnsi="Arial" w:cs="Arial"/>
          <w:color w:val="000000"/>
          <w:sz w:val="24"/>
          <w:rtl/>
        </w:rPr>
        <w:t xml:space="preserve">הדרג המנהלי </w:t>
      </w:r>
      <w:r w:rsidRPr="00700480">
        <w:rPr>
          <w:rFonts w:ascii="Arial" w:hAnsi="Arial" w:cs="Arial"/>
          <w:color w:val="000000"/>
          <w:sz w:val="24"/>
          <w:u w:val="single"/>
          <w:rtl/>
        </w:rPr>
        <w:t>מיישם את מדיניות הממשלה</w:t>
      </w:r>
      <w:r w:rsidRPr="00700480">
        <w:rPr>
          <w:rFonts w:ascii="Arial" w:hAnsi="Arial" w:cs="Arial"/>
          <w:color w:val="000000"/>
          <w:sz w:val="24"/>
          <w:rtl/>
        </w:rPr>
        <w:t xml:space="preserve"> ו</w:t>
      </w:r>
      <w:r w:rsidRPr="00700480">
        <w:rPr>
          <w:rFonts w:ascii="Arial" w:hAnsi="Arial" w:cs="Arial"/>
          <w:color w:val="000000"/>
          <w:sz w:val="24"/>
          <w:u w:val="single"/>
          <w:rtl/>
        </w:rPr>
        <w:t>החלטותיה</w:t>
      </w:r>
      <w:r w:rsidRPr="00700480">
        <w:rPr>
          <w:rFonts w:ascii="Arial" w:hAnsi="Arial" w:cs="Arial"/>
          <w:color w:val="000000"/>
          <w:sz w:val="24"/>
          <w:rtl/>
        </w:rPr>
        <w:t xml:space="preserve"> ו</w:t>
      </w:r>
      <w:r w:rsidRPr="00700480">
        <w:rPr>
          <w:rFonts w:ascii="Arial" w:hAnsi="Arial" w:cs="Arial"/>
          <w:color w:val="000000"/>
          <w:sz w:val="24"/>
          <w:u w:val="single"/>
          <w:rtl/>
        </w:rPr>
        <w:t>את חוקי הכנסת</w:t>
      </w:r>
      <w:r w:rsidRPr="00700480">
        <w:rPr>
          <w:rFonts w:ascii="Arial" w:hAnsi="Arial" w:cs="Arial"/>
          <w:color w:val="000000"/>
          <w:sz w:val="24"/>
          <w:rtl/>
        </w:rPr>
        <w:t>. בדרג זה פו</w:t>
      </w:r>
      <w:r w:rsidR="007129B1" w:rsidRPr="00700480">
        <w:rPr>
          <w:rFonts w:ascii="Arial" w:hAnsi="Arial" w:cs="Arial" w:hint="cs"/>
          <w:color w:val="000000"/>
          <w:sz w:val="24"/>
          <w:rtl/>
        </w:rPr>
        <w:t>עלים פקידים בכירים</w:t>
      </w:r>
      <w:r w:rsidRPr="00700480">
        <w:rPr>
          <w:rFonts w:ascii="Arial" w:hAnsi="Arial" w:cs="Arial"/>
          <w:color w:val="000000"/>
          <w:sz w:val="24"/>
          <w:rtl/>
        </w:rPr>
        <w:t xml:space="preserve"> (מנכ"לים, מנהלי אגפים ומחלקות, אנשי ביצוע המומחים בתחומם) והם מספקים לשרים נתונים והמלצות, אשר עומדים בבסיס תהליך קבלת החלטות של השר. לעתים, בשל מומחיותם של אנשי הדרג המנהלי הבכיר, יש להם השפעה על קביעת מדיניות המשרד. לצדם פועל </w:t>
      </w:r>
      <w:r w:rsidR="007129B1" w:rsidRPr="00700480">
        <w:rPr>
          <w:rFonts w:ascii="Arial" w:hAnsi="Arial" w:cs="Arial"/>
          <w:color w:val="000000"/>
          <w:sz w:val="24"/>
          <w:u w:val="single"/>
          <w:rtl/>
        </w:rPr>
        <w:t>הדרג ה</w:t>
      </w:r>
      <w:r w:rsidR="007129B1" w:rsidRPr="00700480">
        <w:rPr>
          <w:rFonts w:ascii="Arial" w:hAnsi="Arial" w:cs="Arial" w:hint="cs"/>
          <w:color w:val="000000"/>
          <w:sz w:val="24"/>
          <w:u w:val="single"/>
          <w:rtl/>
        </w:rPr>
        <w:t>פקידות</w:t>
      </w:r>
      <w:r w:rsidRPr="00700480">
        <w:rPr>
          <w:rFonts w:ascii="Arial" w:hAnsi="Arial" w:cs="Arial"/>
          <w:color w:val="000000"/>
          <w:sz w:val="24"/>
          <w:u w:val="single"/>
          <w:rtl/>
        </w:rPr>
        <w:t>י הזוטר</w:t>
      </w:r>
      <w:r w:rsidRPr="00700480">
        <w:rPr>
          <w:rFonts w:ascii="Arial" w:hAnsi="Arial" w:cs="Arial"/>
          <w:color w:val="000000"/>
          <w:sz w:val="24"/>
          <w:rtl/>
        </w:rPr>
        <w:t>, העוסק בביצוע.</w:t>
      </w:r>
    </w:p>
    <w:p w:rsidR="005957F3" w:rsidRPr="00700480" w:rsidRDefault="005957F3" w:rsidP="005957F3">
      <w:pPr>
        <w:pStyle w:val="a3"/>
        <w:spacing w:before="120" w:after="120"/>
        <w:jc w:val="left"/>
        <w:rPr>
          <w:rFonts w:ascii="Arial" w:hAnsi="Arial" w:cs="Arial"/>
          <w:b/>
          <w:bCs/>
          <w:emboss/>
          <w:color w:val="000000"/>
          <w:sz w:val="24"/>
          <w:u w:val="single"/>
          <w:rtl/>
        </w:rPr>
      </w:pPr>
    </w:p>
    <w:p w:rsidR="005957F3" w:rsidRPr="00700480" w:rsidRDefault="005957F3" w:rsidP="005957F3">
      <w:pPr>
        <w:pStyle w:val="a3"/>
        <w:spacing w:before="120" w:after="120"/>
        <w:jc w:val="left"/>
        <w:rPr>
          <w:rFonts w:ascii="Arial" w:hAnsi="Arial" w:cs="Arial"/>
          <w:b/>
          <w:bCs/>
          <w:emboss/>
          <w:color w:val="000000"/>
          <w:sz w:val="24"/>
          <w:u w:val="single"/>
          <w:rtl/>
        </w:rPr>
      </w:pPr>
    </w:p>
    <w:p w:rsidR="005957F3" w:rsidRPr="00700480" w:rsidRDefault="005957F3" w:rsidP="005957F3">
      <w:pPr>
        <w:pStyle w:val="3"/>
        <w:rPr>
          <w:sz w:val="24"/>
          <w:szCs w:val="24"/>
          <w:rtl/>
        </w:rPr>
      </w:pPr>
      <w:r w:rsidRPr="00700480">
        <w:rPr>
          <w:sz w:val="24"/>
          <w:szCs w:val="24"/>
          <w:rtl/>
        </w:rPr>
        <w:t>סמכויות הממשלה</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b/>
          <w:bCs/>
          <w:color w:val="000000"/>
          <w:sz w:val="24"/>
          <w:szCs w:val="24"/>
          <w:rtl/>
        </w:rPr>
        <w:t xml:space="preserve">א. </w:t>
      </w:r>
      <w:r w:rsidRPr="00700480">
        <w:rPr>
          <w:rFonts w:ascii="Arial" w:hAnsi="Arial" w:cs="Arial"/>
          <w:b/>
          <w:bCs/>
          <w:color w:val="000000"/>
          <w:sz w:val="24"/>
          <w:szCs w:val="24"/>
          <w:u w:val="single"/>
          <w:rtl/>
        </w:rPr>
        <w:t>קביעת מדיניות וביצועה</w:t>
      </w:r>
      <w:r w:rsidRPr="00700480">
        <w:rPr>
          <w:rFonts w:ascii="Arial" w:hAnsi="Arial" w:cs="Arial"/>
          <w:b/>
          <w:bCs/>
          <w:color w:val="000000"/>
          <w:sz w:val="24"/>
          <w:szCs w:val="24"/>
          <w:rtl/>
        </w:rPr>
        <w:t xml:space="preserve">  -</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הממשלה מרכזת בידיה עוצמה רבה משום שבסמכותה לעשות כל פעולה אשר אינה ניתנת על-פי חוק לגוף אחר במדינה. מתוקף כך יש לממשלה סמכויות כלליות רחבות לפעול בשם המדינה ולנהל את המדינה – כמו, נושאי כלכלה וחברה (מניעת אבטלה וטיפול בפערים חברתיים) קביעת מדיניות ביטחונית (יציאה למלחמה, חתימת הסכם שלום). בנוסף, ישנם משרדים כמו – משרד החוץ, משרד הבינוי והשיכון – שגם חלק נכבד מפעולותיהם אינו מוגדר בחוק.</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b/>
          <w:bCs/>
          <w:color w:val="000000"/>
          <w:sz w:val="24"/>
          <w:szCs w:val="24"/>
          <w:rtl/>
        </w:rPr>
        <w:t xml:space="preserve">ב. </w:t>
      </w:r>
      <w:r w:rsidRPr="00700480">
        <w:rPr>
          <w:rFonts w:ascii="Arial" w:hAnsi="Arial" w:cs="Arial"/>
          <w:b/>
          <w:bCs/>
          <w:color w:val="000000"/>
          <w:sz w:val="24"/>
          <w:szCs w:val="24"/>
          <w:u w:val="single"/>
          <w:rtl/>
        </w:rPr>
        <w:t>קביעת תקנות: חקיקת משנה</w:t>
      </w:r>
      <w:r w:rsidRPr="00700480">
        <w:rPr>
          <w:rFonts w:ascii="Arial" w:hAnsi="Arial" w:cs="Arial"/>
          <w:b/>
          <w:bCs/>
          <w:color w:val="000000"/>
          <w:sz w:val="24"/>
          <w:szCs w:val="24"/>
          <w:rtl/>
        </w:rPr>
        <w:t xml:space="preserve"> -</w:t>
      </w:r>
      <w:r w:rsidRPr="00700480">
        <w:rPr>
          <w:rFonts w:ascii="Arial" w:hAnsi="Arial" w:cs="Arial"/>
          <w:color w:val="000000"/>
          <w:sz w:val="24"/>
          <w:szCs w:val="24"/>
          <w:rtl/>
        </w:rPr>
        <w:t xml:space="preserve">  </w:t>
      </w:r>
    </w:p>
    <w:p w:rsidR="005957F3" w:rsidRPr="00700480" w:rsidRDefault="005957F3" w:rsidP="005957F3">
      <w:pPr>
        <w:rPr>
          <w:rFonts w:ascii="Arial" w:hAnsi="Arial" w:cs="Arial"/>
          <w:color w:val="000000"/>
          <w:sz w:val="24"/>
          <w:szCs w:val="24"/>
          <w:rtl/>
        </w:rPr>
      </w:pPr>
      <w:r w:rsidRPr="00700480">
        <w:rPr>
          <w:rFonts w:ascii="Arial" w:hAnsi="Arial" w:cs="Arial"/>
          <w:color w:val="000000"/>
          <w:sz w:val="24"/>
          <w:szCs w:val="24"/>
          <w:rtl/>
        </w:rPr>
        <w:t xml:space="preserve">רה"מ או השרים השונים </w:t>
      </w:r>
      <w:r w:rsidR="007129B1" w:rsidRPr="00700480">
        <w:rPr>
          <w:rFonts w:ascii="Arial" w:hAnsi="Arial" w:cs="Arial" w:hint="cs"/>
          <w:color w:val="000000"/>
          <w:sz w:val="24"/>
          <w:szCs w:val="24"/>
          <w:rtl/>
        </w:rPr>
        <w:t>מ</w:t>
      </w:r>
      <w:r w:rsidRPr="00700480">
        <w:rPr>
          <w:rFonts w:ascii="Arial" w:hAnsi="Arial" w:cs="Arial"/>
          <w:color w:val="000000"/>
          <w:sz w:val="24"/>
          <w:szCs w:val="24"/>
          <w:rtl/>
        </w:rPr>
        <w:t xml:space="preserve">מונים על </w:t>
      </w:r>
      <w:r w:rsidRPr="00700480">
        <w:rPr>
          <w:rFonts w:ascii="Arial" w:hAnsi="Arial" w:cs="Arial"/>
          <w:color w:val="000000"/>
          <w:sz w:val="24"/>
          <w:szCs w:val="24"/>
          <w:u w:val="single"/>
          <w:rtl/>
        </w:rPr>
        <w:t>ביצועו</w:t>
      </w:r>
      <w:r w:rsidRPr="00700480">
        <w:rPr>
          <w:rFonts w:ascii="Arial" w:hAnsi="Arial" w:cs="Arial"/>
          <w:color w:val="000000"/>
          <w:sz w:val="24"/>
          <w:szCs w:val="24"/>
          <w:rtl/>
        </w:rPr>
        <w:t xml:space="preserve"> של חוק שנחקק בכנסת במסגרת חקיקה ראשית. כדי שיהיה אפשר </w:t>
      </w:r>
      <w:r w:rsidRPr="00700480">
        <w:rPr>
          <w:rFonts w:ascii="Arial" w:hAnsi="Arial" w:cs="Arial"/>
          <w:color w:val="000000"/>
          <w:sz w:val="24"/>
          <w:szCs w:val="24"/>
          <w:u w:val="single"/>
          <w:rtl/>
        </w:rPr>
        <w:t>לבצע</w:t>
      </w:r>
      <w:r w:rsidRPr="00700480">
        <w:rPr>
          <w:rFonts w:ascii="Arial" w:hAnsi="Arial" w:cs="Arial"/>
          <w:color w:val="000000"/>
          <w:sz w:val="24"/>
          <w:szCs w:val="24"/>
          <w:rtl/>
        </w:rPr>
        <w:t xml:space="preserve"> את החוק השרים מוסמכים להתקין תקנות המפרטות את </w:t>
      </w:r>
      <w:r w:rsidRPr="00700480">
        <w:rPr>
          <w:rFonts w:ascii="Arial" w:hAnsi="Arial" w:cs="Arial"/>
          <w:color w:val="000000"/>
          <w:sz w:val="24"/>
          <w:szCs w:val="24"/>
          <w:u w:val="single"/>
          <w:rtl/>
        </w:rPr>
        <w:t>אופן ביצוע החוק</w:t>
      </w:r>
      <w:r w:rsidRPr="00700480">
        <w:rPr>
          <w:rFonts w:ascii="Arial" w:hAnsi="Arial" w:cs="Arial"/>
          <w:color w:val="000000"/>
          <w:sz w:val="24"/>
          <w:szCs w:val="24"/>
          <w:rtl/>
        </w:rPr>
        <w:t xml:space="preserve">. לדוגמא: </w:t>
      </w:r>
    </w:p>
    <w:p w:rsidR="005957F3" w:rsidRPr="00700480" w:rsidRDefault="007129B1" w:rsidP="005957F3">
      <w:pPr>
        <w:numPr>
          <w:ilvl w:val="1"/>
          <w:numId w:val="2"/>
        </w:numPr>
        <w:spacing w:after="0" w:line="240" w:lineRule="auto"/>
        <w:ind w:left="1434" w:right="0" w:hanging="357"/>
        <w:rPr>
          <w:rFonts w:ascii="Arial" w:hAnsi="Arial" w:cs="Arial"/>
          <w:color w:val="000000"/>
          <w:sz w:val="24"/>
          <w:szCs w:val="24"/>
        </w:rPr>
      </w:pPr>
      <w:r w:rsidRPr="00700480">
        <w:rPr>
          <w:rFonts w:ascii="Arial" w:hAnsi="Arial" w:cs="Arial" w:hint="cs"/>
          <w:color w:val="000000"/>
          <w:sz w:val="24"/>
          <w:szCs w:val="24"/>
          <w:rtl/>
        </w:rPr>
        <w:t>שר התחבורה קובע את מהירות המותרת לנסיעה בכבישים</w:t>
      </w:r>
    </w:p>
    <w:p w:rsidR="007129B1" w:rsidRPr="00700480" w:rsidRDefault="007129B1" w:rsidP="005957F3">
      <w:pPr>
        <w:numPr>
          <w:ilvl w:val="1"/>
          <w:numId w:val="2"/>
        </w:numPr>
        <w:spacing w:after="0" w:line="240" w:lineRule="auto"/>
        <w:ind w:left="1434" w:right="0" w:hanging="357"/>
        <w:rPr>
          <w:rFonts w:ascii="Arial" w:hAnsi="Arial" w:cs="Arial"/>
          <w:color w:val="000000"/>
          <w:sz w:val="24"/>
          <w:szCs w:val="24"/>
        </w:rPr>
      </w:pPr>
      <w:r w:rsidRPr="00700480">
        <w:rPr>
          <w:rFonts w:ascii="Arial" w:hAnsi="Arial" w:cs="Arial" w:hint="cs"/>
          <w:color w:val="000000"/>
          <w:sz w:val="24"/>
          <w:szCs w:val="24"/>
          <w:rtl/>
        </w:rPr>
        <w:t>שר החינוך קובע מה יהיו מקצועות החובה לבגרות</w:t>
      </w:r>
    </w:p>
    <w:p w:rsidR="005957F3" w:rsidRPr="00700480" w:rsidRDefault="005957F3" w:rsidP="005957F3">
      <w:pPr>
        <w:spacing w:before="120" w:after="120"/>
        <w:rPr>
          <w:rFonts w:ascii="Arial" w:hAnsi="Arial" w:cs="Arial"/>
          <w:color w:val="000000"/>
          <w:sz w:val="24"/>
          <w:szCs w:val="24"/>
        </w:rPr>
      </w:pPr>
      <w:r w:rsidRPr="00700480">
        <w:rPr>
          <w:rFonts w:ascii="Arial" w:hAnsi="Arial" w:cs="Arial"/>
          <w:color w:val="000000"/>
          <w:sz w:val="24"/>
          <w:szCs w:val="24"/>
          <w:rtl/>
        </w:rPr>
        <w:t xml:space="preserve">תקנות משנה חיבות </w:t>
      </w:r>
      <w:r w:rsidRPr="00700480">
        <w:rPr>
          <w:rFonts w:ascii="Arial" w:hAnsi="Arial" w:cs="Arial"/>
          <w:color w:val="000000"/>
          <w:sz w:val="24"/>
          <w:szCs w:val="24"/>
          <w:u w:val="single"/>
          <w:rtl/>
        </w:rPr>
        <w:t>לא לסתור את חקיקה ראשית</w:t>
      </w:r>
      <w:r w:rsidRPr="00700480">
        <w:rPr>
          <w:rFonts w:ascii="Arial" w:hAnsi="Arial" w:cs="Arial"/>
          <w:color w:val="000000"/>
          <w:sz w:val="24"/>
          <w:szCs w:val="24"/>
          <w:rtl/>
        </w:rPr>
        <w:t xml:space="preserve"> שהתקבלה על ידי הכנסת.</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b/>
          <w:bCs/>
          <w:color w:val="000000"/>
          <w:sz w:val="24"/>
          <w:szCs w:val="24"/>
          <w:rtl/>
        </w:rPr>
        <w:t xml:space="preserve">ג. </w:t>
      </w:r>
      <w:r w:rsidRPr="00700480">
        <w:rPr>
          <w:rFonts w:ascii="Arial" w:hAnsi="Arial" w:cs="Arial"/>
          <w:b/>
          <w:bCs/>
          <w:color w:val="000000"/>
          <w:sz w:val="24"/>
          <w:szCs w:val="24"/>
          <w:u w:val="single"/>
          <w:rtl/>
        </w:rPr>
        <w:t>התקנת תקנות לשעת חירום (תקש"ח)</w:t>
      </w:r>
      <w:r w:rsidRPr="00700480">
        <w:rPr>
          <w:rFonts w:ascii="Arial" w:hAnsi="Arial" w:cs="Arial"/>
          <w:b/>
          <w:bCs/>
          <w:color w:val="000000"/>
          <w:sz w:val="24"/>
          <w:szCs w:val="24"/>
          <w:rtl/>
        </w:rPr>
        <w:t xml:space="preserve"> – </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 xml:space="preserve">עם קום המדינה, בשנת 1948, היה צורך לנקוט אמצעים מיוחדים כדי להתמודד עם מצב החירום שנבע מסכנת האיום על קיומה של המדינה. בפקודת סדרי השלטון והמשפט (1948), סעיף 9, נקבע כי קיים במדינה מצב חירום. קביעה זו, לא בוטלה עד ימנו, ומצב </w:t>
      </w:r>
      <w:r w:rsidRPr="00700480">
        <w:rPr>
          <w:rFonts w:ascii="Arial" w:hAnsi="Arial" w:cs="Arial"/>
          <w:color w:val="000000"/>
          <w:sz w:val="24"/>
          <w:szCs w:val="24"/>
          <w:rtl/>
        </w:rPr>
        <w:lastRenderedPageBreak/>
        <w:t xml:space="preserve">החירום הפך להיות מצב קבוע. במצב חירום זה רשאים הממשלה וכל שר שהוסמך על-ידי הממשלה להתקין תקנות לשעת חירום בכל עת, ללא אישורה של הכנסת </w:t>
      </w:r>
      <w:r w:rsidRPr="00700480">
        <w:rPr>
          <w:rFonts w:ascii="Arial" w:hAnsi="Arial" w:cs="Arial"/>
          <w:b/>
          <w:bCs/>
          <w:color w:val="000000"/>
          <w:sz w:val="24"/>
          <w:szCs w:val="24"/>
          <w:rtl/>
        </w:rPr>
        <w:t>"ככל אשר יראה לו לטובת הגנת המדינה, ביטחון הציבור וקיום האספקה והשירותים החיוניים"</w:t>
      </w:r>
      <w:r w:rsidRPr="00700480">
        <w:rPr>
          <w:rFonts w:ascii="Arial" w:hAnsi="Arial" w:cs="Arial"/>
          <w:color w:val="000000"/>
          <w:sz w:val="24"/>
          <w:szCs w:val="24"/>
          <w:rtl/>
        </w:rPr>
        <w:t>.</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 xml:space="preserve">הכנסת העניקה לממשלה את הסמכות לחוקק תקנות לשעת חירום בחקיקת משנה, משום שהבינה כי בעת מצב חירום יש להקים מנגנון חקיקה שיבטיח שהעניינים החיוניים יוסדרו במהירות וביעלות. </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color w:val="000000"/>
          <w:sz w:val="24"/>
          <w:szCs w:val="24"/>
          <w:rtl/>
        </w:rPr>
        <w:t xml:space="preserve">האישור להתקנת תקש"ח מקנה לממשלה עוצמה רבה – היא יכולה לתקן תקנות הנוגדות את החקיקה הראשית של הכנסת בתחומים רבים, כיוון שבפועל ישנם מעט נושאים שאינם קשורים עם הגנת המדינה, ביטחון הציבור וקיום האספקה והשירותים החיוניים. </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b/>
          <w:bCs/>
          <w:color w:val="000000"/>
          <w:sz w:val="24"/>
          <w:szCs w:val="24"/>
          <w:rtl/>
        </w:rPr>
        <w:t>סמכות זו עלולה לפגוע בדמוקרטיה בישראל בכלל ובזכויות האדם והאזרח בישראל בפרט</w:t>
      </w:r>
      <w:r w:rsidRPr="00700480">
        <w:rPr>
          <w:rFonts w:ascii="Arial" w:hAnsi="Arial" w:cs="Arial"/>
          <w:color w:val="000000"/>
          <w:sz w:val="24"/>
          <w:szCs w:val="24"/>
          <w:rtl/>
        </w:rPr>
        <w:t xml:space="preserve">, </w:t>
      </w:r>
      <w:r w:rsidRPr="00700480">
        <w:rPr>
          <w:rFonts w:ascii="Arial" w:hAnsi="Arial" w:cs="Arial"/>
          <w:color w:val="000000"/>
          <w:sz w:val="24"/>
          <w:szCs w:val="24"/>
          <w:u w:val="single"/>
          <w:rtl/>
        </w:rPr>
        <w:t>לדוגמא</w:t>
      </w:r>
      <w:r w:rsidRPr="00700480">
        <w:rPr>
          <w:rFonts w:ascii="Arial" w:hAnsi="Arial" w:cs="Arial"/>
          <w:color w:val="000000"/>
          <w:sz w:val="24"/>
          <w:szCs w:val="24"/>
          <w:rtl/>
        </w:rPr>
        <w:t>:</w:t>
      </w:r>
    </w:p>
    <w:p w:rsidR="005957F3" w:rsidRPr="00700480" w:rsidRDefault="005957F3" w:rsidP="005957F3">
      <w:pPr>
        <w:pStyle w:val="a7"/>
        <w:numPr>
          <w:ilvl w:val="0"/>
          <w:numId w:val="3"/>
        </w:numPr>
        <w:tabs>
          <w:tab w:val="clear" w:pos="4153"/>
          <w:tab w:val="clear" w:pos="8306"/>
        </w:tabs>
        <w:ind w:left="1434" w:right="0" w:hanging="357"/>
        <w:rPr>
          <w:rFonts w:ascii="Arial" w:hAnsi="Arial" w:cs="Arial"/>
          <w:color w:val="000000"/>
          <w:sz w:val="24"/>
          <w:szCs w:val="24"/>
          <w:rtl/>
        </w:rPr>
      </w:pPr>
      <w:r w:rsidRPr="00700480">
        <w:rPr>
          <w:rFonts w:ascii="Arial" w:hAnsi="Arial" w:cs="Arial"/>
          <w:color w:val="000000"/>
          <w:sz w:val="24"/>
          <w:szCs w:val="24"/>
          <w:rtl/>
        </w:rPr>
        <w:t>פגיעה בזכות השביתה ע"י הוצאת צווי ריתוק לעובדים בשירותים חיוניים.</w:t>
      </w:r>
    </w:p>
    <w:p w:rsidR="005957F3" w:rsidRPr="00700480" w:rsidRDefault="005957F3" w:rsidP="005957F3">
      <w:pPr>
        <w:pStyle w:val="a7"/>
        <w:numPr>
          <w:ilvl w:val="0"/>
          <w:numId w:val="3"/>
        </w:numPr>
        <w:tabs>
          <w:tab w:val="clear" w:pos="4153"/>
          <w:tab w:val="clear" w:pos="8306"/>
        </w:tabs>
        <w:ind w:left="1434" w:right="0" w:hanging="357"/>
        <w:rPr>
          <w:rFonts w:ascii="Arial" w:hAnsi="Arial" w:cs="Arial"/>
          <w:color w:val="000000"/>
          <w:sz w:val="24"/>
          <w:szCs w:val="24"/>
          <w:rtl/>
        </w:rPr>
      </w:pPr>
      <w:r w:rsidRPr="00700480">
        <w:rPr>
          <w:rFonts w:ascii="Arial" w:hAnsi="Arial" w:cs="Arial"/>
          <w:color w:val="000000"/>
          <w:sz w:val="24"/>
          <w:szCs w:val="24"/>
          <w:rtl/>
        </w:rPr>
        <w:t>הטלת מסים ותשלומי חובה, ללא אישור הכנסת.</w:t>
      </w:r>
    </w:p>
    <w:p w:rsidR="005957F3" w:rsidRPr="00700480" w:rsidRDefault="005957F3" w:rsidP="005957F3">
      <w:pPr>
        <w:pStyle w:val="a7"/>
        <w:numPr>
          <w:ilvl w:val="0"/>
          <w:numId w:val="3"/>
        </w:numPr>
        <w:tabs>
          <w:tab w:val="clear" w:pos="4153"/>
          <w:tab w:val="clear" w:pos="8306"/>
        </w:tabs>
        <w:ind w:left="1434" w:right="0" w:hanging="357"/>
        <w:rPr>
          <w:rFonts w:ascii="Arial" w:hAnsi="Arial" w:cs="Arial"/>
          <w:color w:val="000000"/>
          <w:sz w:val="24"/>
          <w:szCs w:val="24"/>
          <w:rtl/>
        </w:rPr>
      </w:pPr>
      <w:r w:rsidRPr="00700480">
        <w:rPr>
          <w:rFonts w:ascii="Arial" w:hAnsi="Arial" w:cs="Arial"/>
          <w:color w:val="000000"/>
          <w:sz w:val="24"/>
          <w:szCs w:val="24"/>
          <w:rtl/>
        </w:rPr>
        <w:t>התקנת תוכנית חירום כלכליות תוך עקיפת הנהלים המקובלים ופגיעה בסדרי מנהל תקינים ובשלטון החוק.</w:t>
      </w:r>
    </w:p>
    <w:p w:rsidR="005957F3" w:rsidRPr="00700480" w:rsidRDefault="005957F3" w:rsidP="005957F3">
      <w:pPr>
        <w:pStyle w:val="a7"/>
        <w:numPr>
          <w:ilvl w:val="0"/>
          <w:numId w:val="3"/>
        </w:numPr>
        <w:tabs>
          <w:tab w:val="clear" w:pos="4153"/>
          <w:tab w:val="clear" w:pos="8306"/>
        </w:tabs>
        <w:ind w:left="1434" w:right="0" w:hanging="357"/>
        <w:rPr>
          <w:rFonts w:ascii="Arial" w:hAnsi="Arial" w:cs="Arial"/>
          <w:color w:val="000000"/>
          <w:sz w:val="24"/>
          <w:szCs w:val="24"/>
          <w:rtl/>
        </w:rPr>
      </w:pPr>
      <w:r w:rsidRPr="00700480">
        <w:rPr>
          <w:rFonts w:ascii="Arial" w:hAnsi="Arial" w:cs="Arial"/>
          <w:color w:val="000000"/>
          <w:sz w:val="24"/>
          <w:szCs w:val="24"/>
          <w:rtl/>
        </w:rPr>
        <w:t>גיוס אזרחים למשימות שונות המוגדרות כמשימות חירום.</w:t>
      </w:r>
    </w:p>
    <w:p w:rsidR="005957F3" w:rsidRPr="00700480" w:rsidRDefault="005957F3" w:rsidP="005957F3">
      <w:pPr>
        <w:pStyle w:val="a7"/>
        <w:numPr>
          <w:ilvl w:val="0"/>
          <w:numId w:val="3"/>
        </w:numPr>
        <w:tabs>
          <w:tab w:val="clear" w:pos="4153"/>
          <w:tab w:val="clear" w:pos="8306"/>
        </w:tabs>
        <w:ind w:left="1434" w:right="0" w:hanging="357"/>
        <w:rPr>
          <w:rFonts w:ascii="Arial" w:hAnsi="Arial" w:cs="Arial"/>
          <w:color w:val="000000"/>
          <w:sz w:val="24"/>
          <w:szCs w:val="24"/>
          <w:rtl/>
        </w:rPr>
      </w:pPr>
      <w:r w:rsidRPr="00700480">
        <w:rPr>
          <w:rFonts w:ascii="Arial" w:hAnsi="Arial" w:cs="Arial"/>
          <w:color w:val="000000"/>
          <w:sz w:val="24"/>
          <w:szCs w:val="24"/>
          <w:rtl/>
        </w:rPr>
        <w:t xml:space="preserve">גיוס ציוד פרטי בזמן משבר ביטחוני, דבר שיש בו פגיעה בזכות הקניין. </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b/>
          <w:bCs/>
          <w:color w:val="000000"/>
          <w:sz w:val="24"/>
          <w:szCs w:val="24"/>
          <w:u w:val="single"/>
          <w:rtl/>
        </w:rPr>
        <w:t>ההגבלות המוטלות על סמכות הממשלה לתקן תקנות לשעת חירום</w:t>
      </w:r>
      <w:r w:rsidRPr="00700480">
        <w:rPr>
          <w:rFonts w:ascii="Arial" w:hAnsi="Arial" w:cs="Arial"/>
          <w:b/>
          <w:bCs/>
          <w:color w:val="000000"/>
          <w:sz w:val="24"/>
          <w:szCs w:val="24"/>
          <w:rtl/>
        </w:rPr>
        <w:t>:</w:t>
      </w:r>
    </w:p>
    <w:p w:rsidR="005957F3" w:rsidRPr="00700480" w:rsidRDefault="005957F3" w:rsidP="005957F3">
      <w:pPr>
        <w:numPr>
          <w:ilvl w:val="0"/>
          <w:numId w:val="2"/>
        </w:numPr>
        <w:spacing w:after="0" w:line="240" w:lineRule="auto"/>
        <w:ind w:right="0" w:hanging="357"/>
        <w:rPr>
          <w:rFonts w:ascii="Arial" w:hAnsi="Arial" w:cs="Arial"/>
          <w:color w:val="000000"/>
          <w:sz w:val="24"/>
          <w:szCs w:val="24"/>
          <w:rtl/>
        </w:rPr>
      </w:pPr>
      <w:r w:rsidRPr="00700480">
        <w:rPr>
          <w:rFonts w:ascii="Arial" w:hAnsi="Arial" w:cs="Arial"/>
          <w:color w:val="000000"/>
          <w:sz w:val="24"/>
          <w:szCs w:val="24"/>
          <w:rtl/>
        </w:rPr>
        <w:t>תוקפן של תקש"ח הוא לשלושה חודשים בלבד וניתן להאריכן רק על-ידי הרשות המחוקקת – הכנסת.</w:t>
      </w:r>
    </w:p>
    <w:p w:rsidR="005957F3" w:rsidRPr="00700480" w:rsidRDefault="005957F3" w:rsidP="005957F3">
      <w:pPr>
        <w:numPr>
          <w:ilvl w:val="0"/>
          <w:numId w:val="2"/>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לא ניתן לתקן תקנה שיכולה להפסיק את עבודת הכנסת או לפגוע בסמכותה.</w:t>
      </w:r>
    </w:p>
    <w:p w:rsidR="005957F3" w:rsidRPr="00700480" w:rsidRDefault="005957F3" w:rsidP="005957F3">
      <w:pPr>
        <w:numPr>
          <w:ilvl w:val="0"/>
          <w:numId w:val="2"/>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ישנם חוקים רגילים וחוקי יסוד מסוימים, אשר מוגנים מפני תקש"ח. לדוגמא: חוק יסוד הממשלה, חוקי יסוד חופש העיסוק וסעיפים מחוק יסוד הכנסת. בחוקים אלה נאמר במפורש שאין בכוחן של תקש"ח לשנותם, להפקיע זמנית את תוקפם או לקבוע בהם תנאים.</w:t>
      </w:r>
    </w:p>
    <w:p w:rsidR="005957F3" w:rsidRPr="00700480" w:rsidRDefault="005957F3" w:rsidP="005957F3">
      <w:pPr>
        <w:numPr>
          <w:ilvl w:val="0"/>
          <w:numId w:val="2"/>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 xml:space="preserve">בתיקון לחוק יסוד הממשלה שהתקבל ב- 1992 נקבעו הוראות חדשות בדבר מצב החירום במדינה וסמכויות הממשלה בקביעת תקש"ח. החוק קובע כי – </w:t>
      </w:r>
    </w:p>
    <w:p w:rsidR="005957F3" w:rsidRPr="00700480" w:rsidRDefault="005957F3" w:rsidP="005957F3">
      <w:pPr>
        <w:numPr>
          <w:ilvl w:val="2"/>
          <w:numId w:val="4"/>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 xml:space="preserve">שנה לאחר קיום הבחירות לכנסת ה- 14 (שנערכו ב- 1996) יסתיים מצב החירום הקיים בארץ מאז 1948. </w:t>
      </w:r>
    </w:p>
    <w:p w:rsidR="005957F3" w:rsidRPr="00700480" w:rsidRDefault="005957F3" w:rsidP="005957F3">
      <w:pPr>
        <w:numPr>
          <w:ilvl w:val="2"/>
          <w:numId w:val="4"/>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 xml:space="preserve">רק הכנסת יכולה להאריך את מצב החירום, וזאת רק לתקופה שלא תעלה על שנה. </w:t>
      </w:r>
      <w:r w:rsidRPr="00700480">
        <w:rPr>
          <w:rFonts w:ascii="Arial" w:hAnsi="Arial" w:cs="Arial"/>
          <w:b/>
          <w:bCs/>
          <w:color w:val="000000"/>
          <w:sz w:val="24"/>
          <w:szCs w:val="24"/>
          <w:rtl/>
        </w:rPr>
        <w:t>מאז 1996 הכנסת מאריכה את החלת מצב זה.</w:t>
      </w:r>
    </w:p>
    <w:p w:rsidR="005957F3" w:rsidRPr="00700480" w:rsidRDefault="005957F3" w:rsidP="005957F3">
      <w:pPr>
        <w:numPr>
          <w:ilvl w:val="2"/>
          <w:numId w:val="4"/>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אסור שתקש"ח יתירו פגיעה בכבוד האדם.</w:t>
      </w:r>
    </w:p>
    <w:p w:rsidR="005957F3" w:rsidRPr="00700480" w:rsidRDefault="005957F3" w:rsidP="005957F3">
      <w:pPr>
        <w:numPr>
          <w:ilvl w:val="2"/>
          <w:numId w:val="4"/>
        </w:numPr>
        <w:spacing w:after="0" w:line="240" w:lineRule="auto"/>
        <w:ind w:right="0" w:hanging="357"/>
        <w:rPr>
          <w:rFonts w:ascii="Arial" w:hAnsi="Arial" w:cs="Arial"/>
          <w:color w:val="000000"/>
          <w:sz w:val="24"/>
          <w:szCs w:val="24"/>
        </w:rPr>
      </w:pPr>
      <w:r w:rsidRPr="00700480">
        <w:rPr>
          <w:rFonts w:ascii="Arial" w:hAnsi="Arial" w:cs="Arial"/>
          <w:color w:val="000000"/>
          <w:sz w:val="24"/>
          <w:szCs w:val="24"/>
          <w:rtl/>
        </w:rPr>
        <w:t>אין בכוחן של תקש"ח למנוע פניה לערכאות ולקבוע ענישה למפרע.</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b/>
          <w:bCs/>
          <w:color w:val="000000"/>
          <w:sz w:val="24"/>
          <w:szCs w:val="24"/>
          <w:rtl/>
        </w:rPr>
        <w:t xml:space="preserve">ד. </w:t>
      </w:r>
      <w:r w:rsidRPr="00700480">
        <w:rPr>
          <w:rFonts w:ascii="Arial" w:hAnsi="Arial" w:cs="Arial"/>
          <w:b/>
          <w:bCs/>
          <w:color w:val="000000"/>
          <w:sz w:val="24"/>
          <w:szCs w:val="24"/>
          <w:u w:val="single"/>
          <w:rtl/>
        </w:rPr>
        <w:t>תקנות הגנה (שעת חירום, 1945)</w:t>
      </w:r>
      <w:r w:rsidRPr="00700480">
        <w:rPr>
          <w:rFonts w:ascii="Arial" w:hAnsi="Arial" w:cs="Arial"/>
          <w:b/>
          <w:bCs/>
          <w:color w:val="000000"/>
          <w:sz w:val="24"/>
          <w:szCs w:val="24"/>
          <w:rtl/>
        </w:rPr>
        <w:t xml:space="preserve"> – </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 xml:space="preserve">תקנות הגנה (שעת חירום) הן חלק ממורשת החקיקה המנדטורית-בריטית. תקנות אלה הותקנו בתקופת המנדט על ידי הנציב העליון הבריטי, על-מנת להקנות לשלטונות סמכויות רחבות במאבקם במחתרות היהודיות. עם קום המדינה נכנסו תקנות אלה למשפט הישראלי מכוח פקודת סדרי השלטון והמשפט שקבעה שכל חוק וכל תקנה מתקופת המנדט שלא בוטלו במפורש בחקיקה ישראלית – תקפים. </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color w:val="000000"/>
          <w:sz w:val="24"/>
          <w:szCs w:val="24"/>
          <w:rtl/>
        </w:rPr>
        <w:t xml:space="preserve">תקנות אלה מקנות לשר הביטחון ולרשויות הביטחון עוצמה רבה, על ידי מתן סמכויות ביצוע רחבות כאשר צורכי הביטחון מחייבים זאת. </w:t>
      </w:r>
    </w:p>
    <w:p w:rsidR="005957F3" w:rsidRPr="00700480" w:rsidRDefault="005957F3" w:rsidP="005957F3">
      <w:pPr>
        <w:rPr>
          <w:rFonts w:ascii="Arial" w:hAnsi="Arial" w:cs="Arial"/>
          <w:color w:val="000000"/>
          <w:sz w:val="24"/>
          <w:szCs w:val="24"/>
          <w:rtl/>
        </w:rPr>
      </w:pPr>
      <w:r w:rsidRPr="00700480">
        <w:rPr>
          <w:rFonts w:ascii="Arial" w:hAnsi="Arial" w:cs="Arial"/>
          <w:b/>
          <w:bCs/>
          <w:color w:val="000000"/>
          <w:sz w:val="24"/>
          <w:szCs w:val="24"/>
          <w:rtl/>
        </w:rPr>
        <w:t>סמכויות אלה עלולות לפגוע בזכויות האדם במדינה</w:t>
      </w:r>
      <w:r w:rsidRPr="00700480">
        <w:rPr>
          <w:rFonts w:ascii="Arial" w:hAnsi="Arial" w:cs="Arial"/>
          <w:color w:val="000000"/>
          <w:sz w:val="24"/>
          <w:szCs w:val="24"/>
          <w:rtl/>
        </w:rPr>
        <w:t xml:space="preserve">, </w:t>
      </w:r>
      <w:r w:rsidRPr="00700480">
        <w:rPr>
          <w:rFonts w:ascii="Arial" w:hAnsi="Arial" w:cs="Arial"/>
          <w:color w:val="000000"/>
          <w:sz w:val="24"/>
          <w:szCs w:val="24"/>
          <w:u w:val="single"/>
          <w:rtl/>
        </w:rPr>
        <w:t>לדוגמא</w:t>
      </w:r>
      <w:r w:rsidRPr="00700480">
        <w:rPr>
          <w:rFonts w:ascii="Arial" w:hAnsi="Arial" w:cs="Arial"/>
          <w:color w:val="000000"/>
          <w:sz w:val="24"/>
          <w:szCs w:val="24"/>
          <w:rtl/>
        </w:rPr>
        <w:t xml:space="preserve">: </w:t>
      </w:r>
    </w:p>
    <w:p w:rsidR="005957F3" w:rsidRPr="00700480" w:rsidRDefault="005957F3" w:rsidP="005957F3">
      <w:pPr>
        <w:numPr>
          <w:ilvl w:val="0"/>
          <w:numId w:val="2"/>
        </w:numPr>
        <w:spacing w:after="0" w:line="240" w:lineRule="auto"/>
        <w:ind w:left="714" w:right="0" w:hanging="357"/>
        <w:rPr>
          <w:rFonts w:ascii="Arial" w:hAnsi="Arial" w:cs="Arial"/>
          <w:color w:val="000000"/>
          <w:sz w:val="24"/>
          <w:szCs w:val="24"/>
          <w:rtl/>
        </w:rPr>
      </w:pPr>
      <w:r w:rsidRPr="00700480">
        <w:rPr>
          <w:rFonts w:ascii="Arial" w:hAnsi="Arial" w:cs="Arial"/>
          <w:color w:val="000000"/>
          <w:sz w:val="24"/>
          <w:szCs w:val="24"/>
          <w:rtl/>
        </w:rPr>
        <w:lastRenderedPageBreak/>
        <w:t>הגבלת תנועותיו של אדם על-ידי סגירת אזורים וקיום עוצר.</w:t>
      </w:r>
    </w:p>
    <w:p w:rsidR="005957F3" w:rsidRPr="00700480" w:rsidRDefault="005957F3" w:rsidP="005957F3">
      <w:pPr>
        <w:numPr>
          <w:ilvl w:val="0"/>
          <w:numId w:val="2"/>
        </w:numPr>
        <w:spacing w:after="0" w:line="240" w:lineRule="auto"/>
        <w:ind w:left="714" w:right="0" w:hanging="357"/>
        <w:rPr>
          <w:rFonts w:ascii="Arial" w:hAnsi="Arial" w:cs="Arial"/>
          <w:color w:val="000000"/>
          <w:sz w:val="24"/>
          <w:szCs w:val="24"/>
        </w:rPr>
      </w:pPr>
      <w:r w:rsidRPr="00700480">
        <w:rPr>
          <w:rFonts w:ascii="Arial" w:hAnsi="Arial" w:cs="Arial"/>
          <w:color w:val="000000"/>
          <w:sz w:val="24"/>
          <w:szCs w:val="24"/>
          <w:rtl/>
        </w:rPr>
        <w:t>הכרזה על התאגדות של קבוצה כבלתי חוקית.</w:t>
      </w:r>
    </w:p>
    <w:p w:rsidR="005957F3" w:rsidRPr="00700480" w:rsidRDefault="005957F3" w:rsidP="005957F3">
      <w:pPr>
        <w:numPr>
          <w:ilvl w:val="0"/>
          <w:numId w:val="2"/>
        </w:numPr>
        <w:spacing w:after="0" w:line="240" w:lineRule="auto"/>
        <w:ind w:left="714" w:right="0" w:hanging="357"/>
        <w:rPr>
          <w:rFonts w:ascii="Arial" w:hAnsi="Arial" w:cs="Arial"/>
          <w:color w:val="000000"/>
          <w:sz w:val="24"/>
          <w:szCs w:val="24"/>
        </w:rPr>
      </w:pPr>
      <w:r w:rsidRPr="00700480">
        <w:rPr>
          <w:rFonts w:ascii="Arial" w:hAnsi="Arial" w:cs="Arial"/>
          <w:color w:val="000000"/>
          <w:sz w:val="24"/>
          <w:szCs w:val="24"/>
          <w:rtl/>
        </w:rPr>
        <w:t>הטלת צנזורה ביטחונית על עיתונים ומכתבים.</w:t>
      </w:r>
    </w:p>
    <w:p w:rsidR="005957F3" w:rsidRPr="00700480" w:rsidRDefault="005957F3" w:rsidP="005957F3">
      <w:pPr>
        <w:numPr>
          <w:ilvl w:val="0"/>
          <w:numId w:val="2"/>
        </w:numPr>
        <w:spacing w:after="0" w:line="240" w:lineRule="auto"/>
        <w:ind w:left="714" w:right="0" w:hanging="357"/>
        <w:rPr>
          <w:rFonts w:ascii="Arial" w:hAnsi="Arial" w:cs="Arial"/>
          <w:color w:val="000000"/>
          <w:sz w:val="24"/>
          <w:szCs w:val="24"/>
        </w:rPr>
      </w:pPr>
      <w:r w:rsidRPr="00700480">
        <w:rPr>
          <w:rFonts w:ascii="Arial" w:hAnsi="Arial" w:cs="Arial"/>
          <w:color w:val="000000"/>
          <w:sz w:val="24"/>
          <w:szCs w:val="24"/>
          <w:rtl/>
        </w:rPr>
        <w:t xml:space="preserve">ביצוע </w:t>
      </w:r>
      <w:r w:rsidRPr="00700480">
        <w:rPr>
          <w:rFonts w:ascii="Arial" w:hAnsi="Arial" w:cs="Arial"/>
          <w:color w:val="000000"/>
          <w:sz w:val="24"/>
          <w:szCs w:val="24"/>
          <w:u w:val="single"/>
          <w:rtl/>
        </w:rPr>
        <w:t>מעצר מינהלי</w:t>
      </w:r>
      <w:r w:rsidRPr="00700480">
        <w:rPr>
          <w:rFonts w:ascii="Arial" w:hAnsi="Arial" w:cs="Arial"/>
          <w:color w:val="000000"/>
          <w:sz w:val="24"/>
          <w:szCs w:val="24"/>
          <w:rtl/>
        </w:rPr>
        <w:t xml:space="preserve"> על אדם שלא הועמד לדין והורשע.</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 xml:space="preserve">ב- </w:t>
      </w:r>
      <w:r w:rsidRPr="00700480">
        <w:rPr>
          <w:rFonts w:ascii="Arial" w:hAnsi="Arial" w:cs="Arial"/>
          <w:b/>
          <w:bCs/>
          <w:color w:val="000000"/>
          <w:sz w:val="24"/>
          <w:szCs w:val="24"/>
          <w:u w:val="single"/>
          <w:rtl/>
        </w:rPr>
        <w:t>1979</w:t>
      </w:r>
      <w:r w:rsidRPr="00700480">
        <w:rPr>
          <w:rFonts w:ascii="Arial" w:hAnsi="Arial" w:cs="Arial"/>
          <w:color w:val="000000"/>
          <w:sz w:val="24"/>
          <w:szCs w:val="24"/>
          <w:rtl/>
        </w:rPr>
        <w:t xml:space="preserve"> נחקק בכנסת </w:t>
      </w:r>
      <w:r w:rsidRPr="00700480">
        <w:rPr>
          <w:rFonts w:ascii="Arial" w:hAnsi="Arial" w:cs="Arial"/>
          <w:b/>
          <w:bCs/>
          <w:color w:val="000000"/>
          <w:sz w:val="24"/>
          <w:szCs w:val="24"/>
          <w:u w:val="single"/>
          <w:rtl/>
        </w:rPr>
        <w:t>חוק סמכויות שעת חירות (מעצרים)</w:t>
      </w:r>
      <w:r w:rsidRPr="00700480">
        <w:rPr>
          <w:rFonts w:ascii="Arial" w:hAnsi="Arial" w:cs="Arial"/>
          <w:color w:val="000000"/>
          <w:sz w:val="24"/>
          <w:szCs w:val="24"/>
          <w:rtl/>
        </w:rPr>
        <w:t xml:space="preserve">, שהוא בבחינת חידוש חשוב במאמץ למצוא </w:t>
      </w:r>
      <w:r w:rsidRPr="00700480">
        <w:rPr>
          <w:rFonts w:ascii="Arial" w:hAnsi="Arial" w:cs="Arial"/>
          <w:b/>
          <w:bCs/>
          <w:color w:val="000000"/>
          <w:sz w:val="24"/>
          <w:szCs w:val="24"/>
          <w:rtl/>
        </w:rPr>
        <w:t>איזון בין הצורך להבטיח את היכולת לנקוט אמצעי חירום ולהגן על ביטחון המדינה ושלום הציבור לבין הצורך להבטיח את עקרונות שלטון החוק במדינה דמוקרטית</w:t>
      </w:r>
      <w:r w:rsidRPr="00700480">
        <w:rPr>
          <w:rFonts w:ascii="Arial" w:hAnsi="Arial" w:cs="Arial"/>
          <w:color w:val="000000"/>
          <w:sz w:val="24"/>
          <w:szCs w:val="24"/>
          <w:rtl/>
        </w:rPr>
        <w:t>. על-פי החוק, ניתן לבצע מעצר מינהלי בתקופה שבה קיים מצב חירום. כמו כן, החוק קובע כי הסמכות על מעצר מינהלי נתונה לשר הביטחון בלבד. לרמטכ"ל ניתנה סמכות לצוות על מעצר מינהלי לפרק זמן שאינו עולה על 48 שעות, ושאינו ניתן להארכה. שר הביטחון יוציא צו מעצר מינהלי רק אם יש לו "יסוד סביר להניח שטעמי ביטחון המדינה או ביטחון הציבור מחייבים שאדם פלוני יוחזק במעצר". ביהמ"ש העליון פסק כי "הסמכות שניתנה לשר הביטחון ... היא סמכות רחבה ויוצאת דופן, מכיוון שהיא מאפשרת שלילת חירות אדם שלא בדרך הליך משפט רגיל, ועל כן יש להשתמש בסמכות זו בזהירות רבה ורק במקרים שאכן הסכנה לביטחון המדינה ולביטחון הציבור היא רצינית, ואין דרך למנוע סכנה זו אלא על-ידי מעצרו של אדם".</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 xml:space="preserve">החידוש העיקרי שבחוק הוא שצו המעצר המינהלי כפוף לביקורת שיפוטית. צו המעצר המינהלי מובא לאישורו של נשיא ביהמ"ש המחוזי בתוך 48 שעות מביצוע המעצר, ואפשר לערער על החלטת הנשיא בפני ביהמ"ש העליון. בסמכותו של נשיא ביהמ"ש המחוזי, שבפניו הובא צו המעצר לביקורת, לאשר את הצו, לבטלו, או לקצר את תקופת המעצר הקבועה בו. תקופת המעצר המינהלי מוגבלת, לפי החוק, לשישה חודשים, וניתן להאריכה רק באישור ביהמ"ש. צו המעצר המינהלי מובא לעיון שיפוטי מדי שלושה חודשים או בתוך תקופה קצרה יותר, על-פי קביעתו של ביהמ"ש. בעקבות החוק החדש, התקף רק בשטח מדינת ישראל, תוקנו והותאמו הצווים המסדירים את המעצרים המינהליים בשטחים המוחזקים על-ידי צה"ל למצב בישראל. הסמכות שהוענקה בחוק לשר הביטחון מוענקת למפקד כוחות צה"ל באזור יהודה, שומרון וחבל עזה. </w:t>
      </w:r>
    </w:p>
    <w:p w:rsidR="005957F3" w:rsidRPr="00700480" w:rsidRDefault="005957F3" w:rsidP="005957F3">
      <w:pPr>
        <w:pStyle w:val="a5"/>
        <w:spacing w:before="120" w:after="120" w:line="240" w:lineRule="auto"/>
        <w:ind w:left="26"/>
        <w:jc w:val="left"/>
        <w:rPr>
          <w:rFonts w:ascii="Arial" w:hAnsi="Arial" w:cs="Arial"/>
          <w:b/>
          <w:bCs/>
          <w:color w:val="000000"/>
          <w:sz w:val="24"/>
          <w:rtl/>
        </w:rPr>
      </w:pPr>
      <w:r w:rsidRPr="00700480">
        <w:rPr>
          <w:rFonts w:ascii="Arial" w:hAnsi="Arial" w:cs="Arial"/>
          <w:b/>
          <w:bCs/>
          <w:color w:val="000000"/>
          <w:sz w:val="24"/>
          <w:rtl/>
        </w:rPr>
        <w:t>[עמ' 402-399]</w:t>
      </w:r>
    </w:p>
    <w:p w:rsidR="005957F3" w:rsidRPr="00700480" w:rsidRDefault="005957F3" w:rsidP="005957F3">
      <w:pPr>
        <w:pStyle w:val="3"/>
        <w:rPr>
          <w:sz w:val="24"/>
          <w:szCs w:val="24"/>
          <w:rtl/>
        </w:rPr>
      </w:pPr>
    </w:p>
    <w:p w:rsidR="005957F3" w:rsidRPr="00700480" w:rsidRDefault="00003FDB" w:rsidP="005957F3">
      <w:pPr>
        <w:pStyle w:val="3"/>
        <w:rPr>
          <w:sz w:val="24"/>
          <w:szCs w:val="24"/>
          <w:rtl/>
        </w:rPr>
      </w:pPr>
      <w:r>
        <w:rPr>
          <w:sz w:val="24"/>
          <w:szCs w:val="24"/>
          <w:rtl/>
        </w:rPr>
        <w:t>אחר</w:t>
      </w:r>
      <w:r w:rsidR="005957F3" w:rsidRPr="00700480">
        <w:rPr>
          <w:sz w:val="24"/>
          <w:szCs w:val="24"/>
          <w:rtl/>
        </w:rPr>
        <w:t>יות ממשלתית</w:t>
      </w:r>
    </w:p>
    <w:p w:rsidR="005957F3" w:rsidRPr="00700480" w:rsidRDefault="005957F3" w:rsidP="005957F3">
      <w:pPr>
        <w:pStyle w:val="a3"/>
        <w:spacing w:before="120" w:after="120"/>
        <w:jc w:val="left"/>
        <w:rPr>
          <w:rFonts w:ascii="Arial" w:hAnsi="Arial" w:cs="Arial"/>
          <w:color w:val="000000"/>
          <w:sz w:val="24"/>
          <w:rtl/>
        </w:rPr>
      </w:pPr>
      <w:r w:rsidRPr="00700480">
        <w:rPr>
          <w:rFonts w:ascii="Arial" w:hAnsi="Arial" w:cs="Arial"/>
          <w:b/>
          <w:bCs/>
          <w:color w:val="000000"/>
          <w:sz w:val="24"/>
          <w:rtl/>
        </w:rPr>
        <w:t xml:space="preserve">במשטר דמוקרטי נדרש השלטון היצוגי, המבוסס על רצון העם, לגלות </w:t>
      </w:r>
      <w:r w:rsidRPr="00700480">
        <w:rPr>
          <w:rFonts w:ascii="Arial" w:hAnsi="Arial" w:cs="Arial"/>
          <w:b/>
          <w:bCs/>
          <w:color w:val="000000"/>
          <w:sz w:val="24"/>
          <w:u w:val="single"/>
          <w:rtl/>
        </w:rPr>
        <w:t>אחראיות</w:t>
      </w:r>
      <w:r w:rsidRPr="00700480">
        <w:rPr>
          <w:rFonts w:ascii="Arial" w:hAnsi="Arial" w:cs="Arial"/>
          <w:b/>
          <w:bCs/>
          <w:color w:val="000000"/>
          <w:sz w:val="24"/>
          <w:rtl/>
        </w:rPr>
        <w:t xml:space="preserve"> כלפי בוחריו.</w:t>
      </w:r>
      <w:r w:rsidRPr="00700480">
        <w:rPr>
          <w:rFonts w:ascii="Arial" w:hAnsi="Arial" w:cs="Arial"/>
          <w:color w:val="000000"/>
          <w:sz w:val="24"/>
          <w:rtl/>
        </w:rPr>
        <w:t xml:space="preserve"> במשטר פרלמנטרי, כישראל, אחראיות זו באה לידי ביטוי </w:t>
      </w:r>
      <w:r w:rsidRPr="00700480">
        <w:rPr>
          <w:rFonts w:ascii="Arial" w:hAnsi="Arial" w:cs="Arial"/>
          <w:color w:val="000000"/>
          <w:sz w:val="24"/>
          <w:u w:val="single"/>
          <w:rtl/>
        </w:rPr>
        <w:t>באחראיות משותפת</w:t>
      </w:r>
      <w:r w:rsidRPr="00700480">
        <w:rPr>
          <w:rFonts w:ascii="Arial" w:hAnsi="Arial" w:cs="Arial"/>
          <w:color w:val="000000"/>
          <w:sz w:val="24"/>
          <w:rtl/>
        </w:rPr>
        <w:t xml:space="preserve"> של הממשלה כולה – רה"מ והשרים – </w:t>
      </w:r>
      <w:r w:rsidRPr="00700480">
        <w:rPr>
          <w:rFonts w:ascii="Arial" w:hAnsi="Arial" w:cs="Arial"/>
          <w:color w:val="000000"/>
          <w:sz w:val="24"/>
          <w:u w:val="single"/>
          <w:rtl/>
        </w:rPr>
        <w:t>כלפי הפרלמנט</w:t>
      </w:r>
      <w:r w:rsidRPr="00700480">
        <w:rPr>
          <w:rFonts w:ascii="Arial" w:hAnsi="Arial" w:cs="Arial"/>
          <w:color w:val="000000"/>
          <w:sz w:val="24"/>
          <w:rtl/>
        </w:rPr>
        <w:t>.</w:t>
      </w:r>
    </w:p>
    <w:p w:rsidR="005957F3" w:rsidRPr="00700480" w:rsidRDefault="005957F3" w:rsidP="005957F3">
      <w:pPr>
        <w:pStyle w:val="a3"/>
        <w:spacing w:before="120" w:after="120"/>
        <w:jc w:val="left"/>
        <w:rPr>
          <w:rFonts w:ascii="Arial" w:hAnsi="Arial" w:cs="Arial"/>
          <w:color w:val="000000"/>
          <w:sz w:val="24"/>
          <w:rtl/>
        </w:rPr>
      </w:pPr>
      <w:r w:rsidRPr="00700480">
        <w:rPr>
          <w:rFonts w:ascii="Arial" w:hAnsi="Arial" w:cs="Arial"/>
          <w:color w:val="000000"/>
          <w:sz w:val="24"/>
          <w:rtl/>
        </w:rPr>
        <w:t xml:space="preserve">משמעותה של האחריות המשותפת היא שהממשלה כולה נושאת באחראיות לכל ההחלטות והפעולות שקיבלה וביצעה </w:t>
      </w:r>
      <w:r w:rsidRPr="00700480">
        <w:rPr>
          <w:rFonts w:ascii="Arial" w:hAnsi="Arial" w:cs="Arial"/>
          <w:color w:val="000000"/>
          <w:sz w:val="24"/>
          <w:u w:val="single"/>
          <w:rtl/>
        </w:rPr>
        <w:t>כגוף אחד</w:t>
      </w:r>
      <w:r w:rsidRPr="00700480">
        <w:rPr>
          <w:rFonts w:ascii="Arial" w:hAnsi="Arial" w:cs="Arial"/>
          <w:color w:val="000000"/>
          <w:sz w:val="24"/>
          <w:rtl/>
        </w:rPr>
        <w:t xml:space="preserve">, וכן לכל מעשה של כל אחד מהשרים. השרים מקבלים עליהם את מרות הממשלה ואת החלטותיה, ואין הם יכולים לחלוק על פעולות רה"מ או על פעולות שרים אחרים שהתקבלו בהצבעת רוב חברי הממשלה. כאשר שר מתנגד להחלטת הממלשלה, הוא עשוי להישאר בממשלה ולהיאבק בתוכה נגד ההחלטה שהתקבלה, אך הוא אינו רשאי לצאת בפומבי כנגד החלטת ממשלה שהתקבלה בהכרעת רוב חברי הממשלה. אם הוא מעוניין לצאת בפומבי נגד ההחלטה עליו להתפטר ממנה. </w:t>
      </w:r>
    </w:p>
    <w:p w:rsidR="005957F3" w:rsidRPr="00700480" w:rsidRDefault="005957F3" w:rsidP="005957F3">
      <w:pPr>
        <w:pStyle w:val="a3"/>
        <w:spacing w:before="120" w:after="120"/>
        <w:jc w:val="left"/>
        <w:rPr>
          <w:rFonts w:ascii="Arial" w:hAnsi="Arial" w:cs="Arial"/>
          <w:color w:val="000000"/>
          <w:sz w:val="24"/>
          <w:rtl/>
        </w:rPr>
      </w:pPr>
      <w:r w:rsidRPr="00700480">
        <w:rPr>
          <w:rFonts w:ascii="Arial" w:hAnsi="Arial" w:cs="Arial"/>
          <w:color w:val="000000"/>
          <w:sz w:val="24"/>
          <w:rtl/>
        </w:rPr>
        <w:t>אחראיות זו באה גם לידי ביטוי גם ב</w:t>
      </w:r>
      <w:r w:rsidRPr="00700480">
        <w:rPr>
          <w:rFonts w:ascii="Arial" w:hAnsi="Arial" w:cs="Arial"/>
          <w:color w:val="000000"/>
          <w:sz w:val="24"/>
          <w:u w:val="single"/>
          <w:rtl/>
        </w:rPr>
        <w:t>חוק המעבר</w:t>
      </w:r>
      <w:r w:rsidRPr="00700480">
        <w:rPr>
          <w:rFonts w:ascii="Arial" w:hAnsi="Arial" w:cs="Arial"/>
          <w:color w:val="000000"/>
          <w:sz w:val="24"/>
          <w:rtl/>
        </w:rPr>
        <w:t xml:space="preserve">, שאומר כי שר בממשלה או ח"כים הנמנים עם סיעתו של השר, שהצביעו במליאת הכנסת נגד הצעת הממשלה, או נמנעו מן ההצבעה בלא שקיבלו הסכמה מרה"מ, והממשלה החליטה שהיה בהצבעה זו הפרת אחראיות </w:t>
      </w:r>
      <w:r w:rsidRPr="00700480">
        <w:rPr>
          <w:rFonts w:ascii="Arial" w:hAnsi="Arial" w:cs="Arial"/>
          <w:color w:val="000000"/>
          <w:sz w:val="24"/>
          <w:rtl/>
        </w:rPr>
        <w:lastRenderedPageBreak/>
        <w:t>המשותפת, "דינו כדין מי שהתפטר מהמשלה". כלומר, השרים, וכן סיעות השרים בכנסת, חייבים להצביע בכנסת בעד החלטות הממשלה. יחד עם זאת, יש לציין, כי במציאות הפוליטית בישראל נוהגים להבליג ולהימנע מהפעלת סנקציות כנגד שר או סיעה שמפרים את עקרון האחריות המשותפת, וזאת מחשש לפירוק הממשלה הקואליציונית ונפילתה.</w:t>
      </w:r>
    </w:p>
    <w:p w:rsidR="005957F3" w:rsidRPr="00700480" w:rsidRDefault="005957F3" w:rsidP="005957F3">
      <w:pPr>
        <w:pStyle w:val="a3"/>
        <w:spacing w:before="120" w:after="120"/>
        <w:jc w:val="left"/>
        <w:rPr>
          <w:rFonts w:ascii="Arial" w:hAnsi="Arial" w:cs="Arial"/>
          <w:color w:val="000000"/>
          <w:sz w:val="24"/>
          <w:rtl/>
        </w:rPr>
      </w:pPr>
      <w:r w:rsidRPr="00700480">
        <w:rPr>
          <w:rFonts w:ascii="Arial" w:hAnsi="Arial" w:cs="Arial"/>
          <w:color w:val="000000"/>
          <w:sz w:val="24"/>
          <w:rtl/>
        </w:rPr>
        <w:t>כאשר חברי הכנסת רואים במדיניות הממשלה מחדל או מעשה שלא ייעשה יכולה הכנסת לראות במדיניות או במעשים אלה "</w:t>
      </w:r>
      <w:r w:rsidRPr="00700480">
        <w:rPr>
          <w:rFonts w:ascii="Arial" w:hAnsi="Arial" w:cs="Arial"/>
          <w:color w:val="000000"/>
          <w:sz w:val="24"/>
          <w:u w:val="single"/>
          <w:rtl/>
        </w:rPr>
        <w:t>הפרת אחריות</w:t>
      </w:r>
      <w:r w:rsidRPr="00700480">
        <w:rPr>
          <w:rFonts w:ascii="Arial" w:hAnsi="Arial" w:cs="Arial"/>
          <w:color w:val="000000"/>
          <w:sz w:val="24"/>
          <w:rtl/>
        </w:rPr>
        <w:t>"  ולהביע "</w:t>
      </w:r>
      <w:r w:rsidRPr="00700480">
        <w:rPr>
          <w:rFonts w:ascii="Arial" w:hAnsi="Arial" w:cs="Arial"/>
          <w:color w:val="000000"/>
          <w:sz w:val="24"/>
          <w:u w:val="single"/>
          <w:rtl/>
        </w:rPr>
        <w:t>אי-אמון בממשלה</w:t>
      </w:r>
      <w:r w:rsidRPr="00700480">
        <w:rPr>
          <w:rFonts w:ascii="Arial" w:hAnsi="Arial" w:cs="Arial"/>
          <w:color w:val="000000"/>
          <w:sz w:val="24"/>
          <w:rtl/>
        </w:rPr>
        <w:t>".</w:t>
      </w:r>
    </w:p>
    <w:p w:rsidR="005957F3" w:rsidRPr="00700480" w:rsidRDefault="005957F3" w:rsidP="005957F3">
      <w:pPr>
        <w:pStyle w:val="a5"/>
        <w:spacing w:before="120" w:after="120" w:line="240" w:lineRule="auto"/>
        <w:ind w:left="26"/>
        <w:jc w:val="left"/>
        <w:rPr>
          <w:rFonts w:ascii="Arial" w:hAnsi="Arial" w:cs="Arial"/>
          <w:b/>
          <w:bCs/>
          <w:color w:val="000000"/>
          <w:sz w:val="24"/>
          <w:rtl/>
        </w:rPr>
      </w:pPr>
      <w:r w:rsidRPr="00700480">
        <w:rPr>
          <w:rFonts w:ascii="Arial" w:hAnsi="Arial" w:cs="Arial"/>
          <w:b/>
          <w:bCs/>
          <w:color w:val="000000"/>
          <w:sz w:val="24"/>
          <w:rtl/>
        </w:rPr>
        <w:t>[עמ' 402]</w:t>
      </w:r>
    </w:p>
    <w:p w:rsidR="005957F3" w:rsidRPr="00700480" w:rsidRDefault="005957F3" w:rsidP="005957F3">
      <w:pPr>
        <w:pStyle w:val="3"/>
        <w:rPr>
          <w:sz w:val="24"/>
          <w:szCs w:val="24"/>
          <w:rtl/>
        </w:rPr>
      </w:pPr>
    </w:p>
    <w:p w:rsidR="005957F3" w:rsidRPr="00700480" w:rsidRDefault="005957F3" w:rsidP="005957F3">
      <w:pPr>
        <w:pStyle w:val="3"/>
        <w:rPr>
          <w:sz w:val="24"/>
          <w:szCs w:val="24"/>
          <w:rtl/>
        </w:rPr>
      </w:pPr>
      <w:r w:rsidRPr="00700480">
        <w:rPr>
          <w:sz w:val="24"/>
          <w:szCs w:val="24"/>
          <w:rtl/>
        </w:rPr>
        <w:t>אחראיות מינ</w:t>
      </w:r>
      <w:r w:rsidR="00003FDB">
        <w:rPr>
          <w:rFonts w:hint="cs"/>
          <w:sz w:val="24"/>
          <w:szCs w:val="24"/>
          <w:rtl/>
        </w:rPr>
        <w:t>י</w:t>
      </w:r>
      <w:bookmarkStart w:id="0" w:name="_GoBack"/>
      <w:bookmarkEnd w:id="0"/>
      <w:r w:rsidRPr="00700480">
        <w:rPr>
          <w:sz w:val="24"/>
          <w:szCs w:val="24"/>
          <w:rtl/>
        </w:rPr>
        <w:t>סטריאלית</w:t>
      </w:r>
    </w:p>
    <w:p w:rsidR="005957F3" w:rsidRPr="00700480" w:rsidRDefault="005957F3" w:rsidP="005957F3">
      <w:pPr>
        <w:spacing w:before="120" w:after="120"/>
        <w:rPr>
          <w:rFonts w:ascii="Arial" w:hAnsi="Arial" w:cs="Arial"/>
          <w:color w:val="000000"/>
          <w:sz w:val="24"/>
          <w:szCs w:val="24"/>
          <w:rtl/>
        </w:rPr>
      </w:pPr>
      <w:r w:rsidRPr="00700480">
        <w:rPr>
          <w:rFonts w:ascii="Arial" w:hAnsi="Arial" w:cs="Arial"/>
          <w:color w:val="000000"/>
          <w:sz w:val="24"/>
          <w:szCs w:val="24"/>
          <w:rtl/>
        </w:rPr>
        <w:t xml:space="preserve">אחראיות מיניסטריאלית </w:t>
      </w:r>
      <w:r w:rsidRPr="00700480">
        <w:rPr>
          <w:rFonts w:ascii="Arial" w:hAnsi="Arial" w:cs="Arial"/>
          <w:color w:val="000000"/>
          <w:sz w:val="24"/>
          <w:szCs w:val="24"/>
          <w:u w:val="single"/>
          <w:rtl/>
        </w:rPr>
        <w:t>מוטלת על כל שר</w:t>
      </w:r>
      <w:r w:rsidRPr="00700480">
        <w:rPr>
          <w:rFonts w:ascii="Arial" w:hAnsi="Arial" w:cs="Arial"/>
          <w:color w:val="000000"/>
          <w:sz w:val="24"/>
          <w:szCs w:val="24"/>
          <w:rtl/>
        </w:rPr>
        <w:t xml:space="preserve"> </w:t>
      </w:r>
      <w:r w:rsidRPr="00700480">
        <w:rPr>
          <w:rFonts w:ascii="Arial" w:hAnsi="Arial" w:cs="Arial"/>
          <w:color w:val="000000"/>
          <w:sz w:val="24"/>
          <w:szCs w:val="24"/>
          <w:u w:val="single"/>
          <w:rtl/>
        </w:rPr>
        <w:t>מתוקף היותו שר הממונה על ביצוע מדיניות משרדו</w:t>
      </w:r>
      <w:r w:rsidRPr="00700480">
        <w:rPr>
          <w:rFonts w:ascii="Arial" w:hAnsi="Arial" w:cs="Arial"/>
          <w:color w:val="000000"/>
          <w:sz w:val="24"/>
          <w:szCs w:val="24"/>
          <w:rtl/>
        </w:rPr>
        <w:t xml:space="preserve"> ו</w:t>
      </w:r>
      <w:r w:rsidRPr="00700480">
        <w:rPr>
          <w:rFonts w:ascii="Arial" w:hAnsi="Arial" w:cs="Arial"/>
          <w:color w:val="000000"/>
          <w:sz w:val="24"/>
          <w:szCs w:val="24"/>
          <w:u w:val="single"/>
          <w:rtl/>
        </w:rPr>
        <w:t>על המנגנון המבצע את התפקידים שבתחום משרדו</w:t>
      </w:r>
      <w:r w:rsidRPr="00700480">
        <w:rPr>
          <w:rFonts w:ascii="Arial" w:hAnsi="Arial" w:cs="Arial"/>
          <w:color w:val="000000"/>
          <w:sz w:val="24"/>
          <w:szCs w:val="24"/>
          <w:rtl/>
        </w:rPr>
        <w:t xml:space="preserve">. אחריות זו, היא </w:t>
      </w:r>
      <w:r w:rsidRPr="00700480">
        <w:rPr>
          <w:rFonts w:ascii="Arial" w:hAnsi="Arial" w:cs="Arial"/>
          <w:color w:val="000000"/>
          <w:sz w:val="24"/>
          <w:szCs w:val="24"/>
          <w:u w:val="single"/>
          <w:rtl/>
        </w:rPr>
        <w:t>רחבה</w:t>
      </w:r>
      <w:r w:rsidRPr="00700480">
        <w:rPr>
          <w:rFonts w:ascii="Arial" w:hAnsi="Arial" w:cs="Arial"/>
          <w:color w:val="000000"/>
          <w:sz w:val="24"/>
          <w:szCs w:val="24"/>
          <w:rtl/>
        </w:rPr>
        <w:t xml:space="preserve">, ואינה מצטמצמת למחדל או מעשה אישי של השר. השר אחראי גם לדברים שנעשו בתחום משרדו ואשר </w:t>
      </w:r>
      <w:r w:rsidRPr="00700480">
        <w:rPr>
          <w:rFonts w:ascii="Arial" w:hAnsi="Arial" w:cs="Arial"/>
          <w:color w:val="000000"/>
          <w:sz w:val="24"/>
          <w:szCs w:val="24"/>
          <w:u w:val="single"/>
          <w:rtl/>
        </w:rPr>
        <w:t>לא ידע עליהם</w:t>
      </w:r>
      <w:r w:rsidRPr="00700480">
        <w:rPr>
          <w:rFonts w:ascii="Arial" w:hAnsi="Arial" w:cs="Arial"/>
          <w:color w:val="000000"/>
          <w:sz w:val="24"/>
          <w:szCs w:val="24"/>
          <w:rtl/>
        </w:rPr>
        <w:t xml:space="preserve">, ואפילו לדברים שנעשו במשרדו </w:t>
      </w:r>
      <w:r w:rsidRPr="00700480">
        <w:rPr>
          <w:rFonts w:ascii="Arial" w:hAnsi="Arial" w:cs="Arial"/>
          <w:color w:val="000000"/>
          <w:sz w:val="24"/>
          <w:szCs w:val="24"/>
          <w:u w:val="single"/>
          <w:rtl/>
        </w:rPr>
        <w:t>בניגוד למדיניותו הכללית</w:t>
      </w:r>
      <w:r w:rsidRPr="00700480">
        <w:rPr>
          <w:rFonts w:ascii="Arial" w:hAnsi="Arial" w:cs="Arial"/>
          <w:color w:val="000000"/>
          <w:sz w:val="24"/>
          <w:szCs w:val="24"/>
          <w:rtl/>
        </w:rPr>
        <w:t xml:space="preserve"> או </w:t>
      </w:r>
      <w:r w:rsidRPr="00700480">
        <w:rPr>
          <w:rFonts w:ascii="Arial" w:hAnsi="Arial" w:cs="Arial"/>
          <w:color w:val="000000"/>
          <w:sz w:val="24"/>
          <w:szCs w:val="24"/>
          <w:u w:val="single"/>
          <w:rtl/>
        </w:rPr>
        <w:t>בניגוד להוראותיו המפורשות</w:t>
      </w:r>
      <w:r w:rsidRPr="00700480">
        <w:rPr>
          <w:rFonts w:ascii="Arial" w:hAnsi="Arial" w:cs="Arial"/>
          <w:color w:val="000000"/>
          <w:sz w:val="24"/>
          <w:szCs w:val="24"/>
          <w:rtl/>
        </w:rPr>
        <w:t xml:space="preserve">. אחראיות זו באה לידי ביטוי גם </w:t>
      </w:r>
      <w:r w:rsidRPr="00700480">
        <w:rPr>
          <w:rFonts w:ascii="Arial" w:hAnsi="Arial" w:cs="Arial"/>
          <w:color w:val="000000"/>
          <w:sz w:val="24"/>
          <w:szCs w:val="24"/>
          <w:u w:val="single"/>
          <w:rtl/>
        </w:rPr>
        <w:t>כלפי הכנסת</w:t>
      </w:r>
      <w:r w:rsidRPr="00700480">
        <w:rPr>
          <w:rFonts w:ascii="Arial" w:hAnsi="Arial" w:cs="Arial"/>
          <w:color w:val="000000"/>
          <w:sz w:val="24"/>
          <w:szCs w:val="24"/>
          <w:rtl/>
        </w:rPr>
        <w:t xml:space="preserve"> שלה חייב השר במתן דין וחשבון במסגרת מילוי תפקידו. משמע, חייב להסביר כל מה שנוגע לכל מעשה או מחדל במשרדו, והוא אינו רשאי לחמוק מאחריותו ולהטילה על פקידיו ויועציו. השר (ולא עובדי המשרד) חייב להתייצב בפני הכנסת ולדווח לה, והוא חייב לשאת גם בתוצאות של משגי עובדיו. </w:t>
      </w:r>
    </w:p>
    <w:p w:rsidR="005957F3" w:rsidRPr="00700480" w:rsidRDefault="005957F3" w:rsidP="005957F3">
      <w:pPr>
        <w:spacing w:before="120" w:after="120"/>
        <w:rPr>
          <w:rFonts w:ascii="Arial" w:hAnsi="Arial" w:cs="Arial"/>
          <w:b/>
          <w:bCs/>
          <w:color w:val="000000"/>
          <w:sz w:val="24"/>
          <w:szCs w:val="24"/>
          <w:rtl/>
        </w:rPr>
      </w:pPr>
      <w:r w:rsidRPr="00700480">
        <w:rPr>
          <w:rFonts w:ascii="Arial" w:hAnsi="Arial" w:cs="Arial"/>
          <w:b/>
          <w:bCs/>
          <w:color w:val="000000"/>
          <w:sz w:val="24"/>
          <w:szCs w:val="24"/>
          <w:u w:val="single"/>
          <w:rtl/>
        </w:rPr>
        <w:t>לסיכום</w:t>
      </w:r>
      <w:r w:rsidRPr="00700480">
        <w:rPr>
          <w:rFonts w:ascii="Arial" w:hAnsi="Arial" w:cs="Arial"/>
          <w:b/>
          <w:bCs/>
          <w:color w:val="000000"/>
          <w:sz w:val="24"/>
          <w:szCs w:val="24"/>
          <w:rtl/>
        </w:rPr>
        <w:t xml:space="preserve"> –</w:t>
      </w:r>
      <w:r w:rsidRPr="00700480">
        <w:rPr>
          <w:rFonts w:ascii="Arial" w:hAnsi="Arial" w:cs="Arial"/>
          <w:color w:val="000000"/>
          <w:sz w:val="24"/>
          <w:szCs w:val="24"/>
          <w:rtl/>
        </w:rPr>
        <w:t xml:space="preserve"> העיקרון של קיום אחראיות משותפת ואחראיות מיניסטריאלית של הממשלה והשרים בפני הכנסת מבוסס על </w:t>
      </w:r>
      <w:r w:rsidRPr="00700480">
        <w:rPr>
          <w:rFonts w:ascii="Arial" w:hAnsi="Arial" w:cs="Arial"/>
          <w:b/>
          <w:bCs/>
          <w:color w:val="000000"/>
          <w:sz w:val="24"/>
          <w:szCs w:val="24"/>
          <w:u w:val="single"/>
          <w:rtl/>
        </w:rPr>
        <w:t>עקרון הפרדת הרשויות</w:t>
      </w:r>
      <w:r w:rsidRPr="00700480">
        <w:rPr>
          <w:rFonts w:ascii="Arial" w:hAnsi="Arial" w:cs="Arial"/>
          <w:color w:val="000000"/>
          <w:sz w:val="24"/>
          <w:szCs w:val="24"/>
          <w:rtl/>
        </w:rPr>
        <w:t xml:space="preserve"> בישראל, משום שהוא </w:t>
      </w:r>
      <w:r w:rsidRPr="00700480">
        <w:rPr>
          <w:rFonts w:ascii="Arial" w:hAnsi="Arial" w:cs="Arial"/>
          <w:b/>
          <w:bCs/>
          <w:color w:val="000000"/>
          <w:sz w:val="24"/>
          <w:szCs w:val="24"/>
          <w:rtl/>
        </w:rPr>
        <w:t xml:space="preserve">מגדיר יחסי גומלין של </w:t>
      </w:r>
      <w:r w:rsidRPr="00700480">
        <w:rPr>
          <w:rFonts w:ascii="Arial" w:hAnsi="Arial" w:cs="Arial"/>
          <w:b/>
          <w:bCs/>
          <w:color w:val="000000"/>
          <w:sz w:val="24"/>
          <w:szCs w:val="24"/>
          <w:u w:val="single"/>
          <w:rtl/>
        </w:rPr>
        <w:t>איזונים ובלמים</w:t>
      </w:r>
      <w:r w:rsidRPr="00700480">
        <w:rPr>
          <w:rFonts w:ascii="Arial" w:hAnsi="Arial" w:cs="Arial"/>
          <w:b/>
          <w:bCs/>
          <w:color w:val="000000"/>
          <w:sz w:val="24"/>
          <w:szCs w:val="24"/>
          <w:rtl/>
        </w:rPr>
        <w:t xml:space="preserve"> בין </w:t>
      </w:r>
      <w:r w:rsidRPr="00700480">
        <w:rPr>
          <w:rFonts w:ascii="Arial" w:hAnsi="Arial" w:cs="Arial"/>
          <w:b/>
          <w:bCs/>
          <w:color w:val="000000"/>
          <w:sz w:val="24"/>
          <w:szCs w:val="24"/>
          <w:u w:val="single"/>
          <w:rtl/>
        </w:rPr>
        <w:t>הרשות המבצעת</w:t>
      </w:r>
      <w:r w:rsidRPr="00700480">
        <w:rPr>
          <w:rFonts w:ascii="Arial" w:hAnsi="Arial" w:cs="Arial"/>
          <w:b/>
          <w:bCs/>
          <w:color w:val="000000"/>
          <w:sz w:val="24"/>
          <w:szCs w:val="24"/>
          <w:rtl/>
        </w:rPr>
        <w:t xml:space="preserve"> ובין </w:t>
      </w:r>
      <w:r w:rsidRPr="00700480">
        <w:rPr>
          <w:rFonts w:ascii="Arial" w:hAnsi="Arial" w:cs="Arial"/>
          <w:b/>
          <w:bCs/>
          <w:color w:val="000000"/>
          <w:sz w:val="24"/>
          <w:szCs w:val="24"/>
          <w:u w:val="single"/>
          <w:rtl/>
        </w:rPr>
        <w:t>הרשות המחוקקת</w:t>
      </w:r>
      <w:r w:rsidRPr="00700480">
        <w:rPr>
          <w:rFonts w:ascii="Arial" w:hAnsi="Arial" w:cs="Arial"/>
          <w:b/>
          <w:bCs/>
          <w:color w:val="000000"/>
          <w:sz w:val="24"/>
          <w:szCs w:val="24"/>
          <w:rtl/>
        </w:rPr>
        <w:t xml:space="preserve">. </w:t>
      </w:r>
    </w:p>
    <w:p w:rsidR="005957F3" w:rsidRPr="00700480" w:rsidRDefault="005957F3" w:rsidP="005957F3">
      <w:pPr>
        <w:pStyle w:val="a5"/>
        <w:spacing w:before="120" w:after="120" w:line="240" w:lineRule="auto"/>
        <w:ind w:left="26"/>
        <w:jc w:val="left"/>
        <w:rPr>
          <w:rFonts w:ascii="Arial" w:hAnsi="Arial" w:cs="Arial"/>
          <w:b/>
          <w:bCs/>
          <w:color w:val="000000"/>
          <w:sz w:val="24"/>
        </w:rPr>
      </w:pPr>
      <w:r w:rsidRPr="00700480">
        <w:rPr>
          <w:rFonts w:ascii="Arial" w:hAnsi="Arial" w:cs="Arial"/>
          <w:b/>
          <w:bCs/>
          <w:color w:val="000000"/>
          <w:sz w:val="24"/>
          <w:rtl/>
        </w:rPr>
        <w:t>[עמ' 403-402]</w:t>
      </w:r>
    </w:p>
    <w:p w:rsidR="005957F3" w:rsidRPr="00700480" w:rsidRDefault="005957F3" w:rsidP="005957F3">
      <w:pPr>
        <w:pStyle w:val="3"/>
        <w:rPr>
          <w:sz w:val="24"/>
          <w:szCs w:val="24"/>
          <w:rtl/>
        </w:rPr>
      </w:pPr>
    </w:p>
    <w:sectPr w:rsidR="005957F3" w:rsidRPr="00700480" w:rsidSect="00A6390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6D" w:rsidRDefault="008C586D" w:rsidP="005957F3">
      <w:pPr>
        <w:spacing w:after="0" w:line="240" w:lineRule="auto"/>
      </w:pPr>
      <w:r>
        <w:separator/>
      </w:r>
    </w:p>
  </w:endnote>
  <w:endnote w:type="continuationSeparator" w:id="0">
    <w:p w:rsidR="008C586D" w:rsidRDefault="008C586D" w:rsidP="0059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vid">
    <w:altName w:val="Times New Roman"/>
    <w:panose1 w:val="00000000000000000000"/>
    <w:charset w:val="00"/>
    <w:family w:val="roman"/>
    <w:notTrueType/>
    <w:pitch w:val="default"/>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6D" w:rsidRDefault="008C586D" w:rsidP="005957F3">
      <w:pPr>
        <w:spacing w:after="0" w:line="240" w:lineRule="auto"/>
      </w:pPr>
      <w:r>
        <w:separator/>
      </w:r>
    </w:p>
  </w:footnote>
  <w:footnote w:type="continuationSeparator" w:id="0">
    <w:p w:rsidR="008C586D" w:rsidRDefault="008C586D" w:rsidP="0059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F74B4"/>
    <w:multiLevelType w:val="hybridMultilevel"/>
    <w:tmpl w:val="5AC49748"/>
    <w:lvl w:ilvl="0" w:tplc="BE904A9E">
      <w:start w:val="1"/>
      <w:numFmt w:val="decimal"/>
      <w:lvlText w:val="%1."/>
      <w:lvlJc w:val="left"/>
      <w:pPr>
        <w:tabs>
          <w:tab w:val="num" w:pos="720"/>
        </w:tabs>
        <w:ind w:left="720" w:right="720" w:hanging="360"/>
      </w:pPr>
      <w:rPr>
        <w:rFonts w:cs="David" w:hint="cs"/>
        <w:bCs/>
        <w:iCs w:val="0"/>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4D9F07B6"/>
    <w:multiLevelType w:val="hybridMultilevel"/>
    <w:tmpl w:val="F5F41BA8"/>
    <w:lvl w:ilvl="0" w:tplc="C3204C3A">
      <w:start w:val="1"/>
      <w:numFmt w:val="bullet"/>
      <w:lvlText w:val=""/>
      <w:lvlJc w:val="left"/>
      <w:pPr>
        <w:tabs>
          <w:tab w:val="num" w:pos="3237"/>
        </w:tabs>
        <w:ind w:left="3237" w:right="3237"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E705951"/>
    <w:multiLevelType w:val="hybridMultilevel"/>
    <w:tmpl w:val="7812CAD0"/>
    <w:lvl w:ilvl="0" w:tplc="68D2A6E8">
      <w:start w:val="1"/>
      <w:numFmt w:val="bullet"/>
      <w:lvlText w:val="­"/>
      <w:lvlJc w:val="left"/>
      <w:pPr>
        <w:tabs>
          <w:tab w:val="num" w:pos="1440"/>
        </w:tabs>
        <w:ind w:left="1440" w:right="1440" w:hanging="360"/>
      </w:pPr>
      <w:rPr>
        <w:rFonts w:hAnsi="Courier New"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51BE3715"/>
    <w:multiLevelType w:val="hybridMultilevel"/>
    <w:tmpl w:val="C87E4274"/>
    <w:lvl w:ilvl="0" w:tplc="80D026A4">
      <w:numFmt w:val="bullet"/>
      <w:lvlText w:val="-"/>
      <w:lvlJc w:val="left"/>
      <w:pPr>
        <w:tabs>
          <w:tab w:val="num" w:pos="720"/>
        </w:tabs>
        <w:ind w:left="720" w:right="720" w:hanging="360"/>
      </w:pPr>
      <w:rPr>
        <w:rFonts w:ascii="Times New Roman" w:eastAsia="Times New Roman" w:hAnsi="Times New Roman" w:cs="David" w:hint="default"/>
      </w:rPr>
    </w:lvl>
    <w:lvl w:ilvl="1" w:tplc="1980B30E">
      <w:start w:val="1"/>
      <w:numFmt w:val="bullet"/>
      <w:lvlText w:val="-"/>
      <w:lvlJc w:val="left"/>
      <w:pPr>
        <w:tabs>
          <w:tab w:val="num" w:pos="1440"/>
        </w:tabs>
        <w:ind w:left="1440" w:right="1440" w:hanging="360"/>
      </w:pPr>
      <w:rPr>
        <w:rFonts w:ascii="divid" w:eastAsia="Times New Roman" w:hAnsi="divid" w:cs="Narkisim"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57F3"/>
    <w:rsid w:val="00003FDB"/>
    <w:rsid w:val="003A364C"/>
    <w:rsid w:val="00404A6A"/>
    <w:rsid w:val="00481E59"/>
    <w:rsid w:val="00496BB8"/>
    <w:rsid w:val="005957F3"/>
    <w:rsid w:val="0069550C"/>
    <w:rsid w:val="00700480"/>
    <w:rsid w:val="007129B1"/>
    <w:rsid w:val="008C586D"/>
    <w:rsid w:val="00A63908"/>
    <w:rsid w:val="00CC5146"/>
    <w:rsid w:val="00CD5224"/>
    <w:rsid w:val="00FF0E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28CAC-C9D2-4270-AC71-7760AE6C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B8"/>
    <w:pPr>
      <w:bidi/>
    </w:pPr>
  </w:style>
  <w:style w:type="paragraph" w:styleId="3">
    <w:name w:val="heading 3"/>
    <w:basedOn w:val="a"/>
    <w:next w:val="a"/>
    <w:link w:val="30"/>
    <w:qFormat/>
    <w:rsid w:val="005957F3"/>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5957F3"/>
    <w:rPr>
      <w:rFonts w:ascii="Arial" w:eastAsia="Calibri" w:hAnsi="Arial" w:cs="Arial"/>
      <w:b/>
      <w:bCs/>
      <w:sz w:val="26"/>
      <w:szCs w:val="26"/>
    </w:rPr>
  </w:style>
  <w:style w:type="paragraph" w:styleId="a3">
    <w:name w:val="Subtitle"/>
    <w:aliases w:val=" תו"/>
    <w:basedOn w:val="a"/>
    <w:link w:val="a4"/>
    <w:qFormat/>
    <w:rsid w:val="005957F3"/>
    <w:pPr>
      <w:spacing w:after="0" w:line="240" w:lineRule="auto"/>
      <w:jc w:val="both"/>
    </w:pPr>
    <w:rPr>
      <w:rFonts w:ascii="Times New Roman" w:eastAsia="Times New Roman" w:hAnsi="Times New Roman" w:cs="David"/>
      <w:noProof/>
      <w:color w:val="000080"/>
      <w:sz w:val="20"/>
      <w:szCs w:val="24"/>
      <w:lang w:eastAsia="he-IL"/>
    </w:rPr>
  </w:style>
  <w:style w:type="character" w:customStyle="1" w:styleId="a4">
    <w:name w:val="כותרת משנה תו"/>
    <w:aliases w:val=" תו תו"/>
    <w:basedOn w:val="a0"/>
    <w:link w:val="a3"/>
    <w:rsid w:val="005957F3"/>
    <w:rPr>
      <w:rFonts w:ascii="Times New Roman" w:eastAsia="Times New Roman" w:hAnsi="Times New Roman" w:cs="David"/>
      <w:noProof/>
      <w:color w:val="000080"/>
      <w:sz w:val="20"/>
      <w:szCs w:val="24"/>
      <w:lang w:eastAsia="he-IL"/>
    </w:rPr>
  </w:style>
  <w:style w:type="paragraph" w:styleId="a5">
    <w:name w:val="Body Text"/>
    <w:basedOn w:val="a"/>
    <w:link w:val="a6"/>
    <w:rsid w:val="005957F3"/>
    <w:pPr>
      <w:spacing w:after="0" w:line="360" w:lineRule="auto"/>
      <w:jc w:val="both"/>
    </w:pPr>
    <w:rPr>
      <w:rFonts w:ascii="Times New Roman" w:eastAsia="Times New Roman" w:hAnsi="Times New Roman" w:cs="David"/>
      <w:noProof/>
      <w:sz w:val="20"/>
      <w:szCs w:val="24"/>
      <w:lang w:eastAsia="he-IL"/>
    </w:rPr>
  </w:style>
  <w:style w:type="character" w:customStyle="1" w:styleId="a6">
    <w:name w:val="גוף טקסט תו"/>
    <w:basedOn w:val="a0"/>
    <w:link w:val="a5"/>
    <w:rsid w:val="005957F3"/>
    <w:rPr>
      <w:rFonts w:ascii="Times New Roman" w:eastAsia="Times New Roman" w:hAnsi="Times New Roman" w:cs="David"/>
      <w:noProof/>
      <w:sz w:val="20"/>
      <w:szCs w:val="24"/>
      <w:lang w:eastAsia="he-IL"/>
    </w:rPr>
  </w:style>
  <w:style w:type="paragraph" w:styleId="a7">
    <w:name w:val="header"/>
    <w:basedOn w:val="a"/>
    <w:link w:val="a8"/>
    <w:rsid w:val="005957F3"/>
    <w:pPr>
      <w:tabs>
        <w:tab w:val="center" w:pos="4153"/>
        <w:tab w:val="right" w:pos="8306"/>
      </w:tabs>
      <w:spacing w:after="0" w:line="240" w:lineRule="auto"/>
    </w:pPr>
    <w:rPr>
      <w:rFonts w:ascii="divid" w:eastAsia="Times New Roman" w:hAnsi="divid" w:cs="Narkisim"/>
      <w:sz w:val="28"/>
      <w:szCs w:val="28"/>
      <w:lang w:eastAsia="he-IL"/>
    </w:rPr>
  </w:style>
  <w:style w:type="character" w:customStyle="1" w:styleId="a8">
    <w:name w:val="כותרת עליונה תו"/>
    <w:basedOn w:val="a0"/>
    <w:link w:val="a7"/>
    <w:rsid w:val="005957F3"/>
    <w:rPr>
      <w:rFonts w:ascii="divid" w:eastAsia="Times New Roman" w:hAnsi="divid" w:cs="Narkisim"/>
      <w:sz w:val="28"/>
      <w:szCs w:val="28"/>
      <w:lang w:eastAsia="he-IL"/>
    </w:rPr>
  </w:style>
  <w:style w:type="paragraph" w:styleId="a9">
    <w:name w:val="footnote text"/>
    <w:basedOn w:val="a"/>
    <w:link w:val="aa"/>
    <w:semiHidden/>
    <w:rsid w:val="005957F3"/>
    <w:pPr>
      <w:spacing w:after="0" w:line="240" w:lineRule="auto"/>
    </w:pPr>
    <w:rPr>
      <w:rFonts w:ascii="divid" w:eastAsia="Times New Roman" w:hAnsi="divid" w:cs="Narkisim"/>
      <w:sz w:val="20"/>
      <w:szCs w:val="20"/>
      <w:lang w:eastAsia="he-IL"/>
    </w:rPr>
  </w:style>
  <w:style w:type="character" w:customStyle="1" w:styleId="aa">
    <w:name w:val="טקסט הערת שוליים תו"/>
    <w:basedOn w:val="a0"/>
    <w:link w:val="a9"/>
    <w:semiHidden/>
    <w:rsid w:val="005957F3"/>
    <w:rPr>
      <w:rFonts w:ascii="divid" w:eastAsia="Times New Roman" w:hAnsi="divid" w:cs="Narkisim"/>
      <w:sz w:val="20"/>
      <w:szCs w:val="20"/>
      <w:lang w:eastAsia="he-IL"/>
    </w:rPr>
  </w:style>
  <w:style w:type="character" w:styleId="ab">
    <w:name w:val="footnote reference"/>
    <w:basedOn w:val="a0"/>
    <w:semiHidden/>
    <w:rsid w:val="00595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1409</Words>
  <Characters>7046</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 נברו</dc:creator>
  <cp:lastModifiedBy>אסף</cp:lastModifiedBy>
  <cp:revision>3</cp:revision>
  <dcterms:created xsi:type="dcterms:W3CDTF">2014-02-24T16:55:00Z</dcterms:created>
  <dcterms:modified xsi:type="dcterms:W3CDTF">2015-01-05T18:31:00Z</dcterms:modified>
</cp:coreProperties>
</file>